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tabs>
          <w:tab w:val="left" w:pos="708" w:leader="none"/>
          <w:tab w:val="center" w:pos="4677" w:leader="none"/>
        </w:tabs>
        <w:rPr>
          <w:rFonts w:ascii="Times New Roman" w:hAnsi="Times New Roman" w:cs="Times New Roman"/>
          <w:b/>
          <w:sz w:val="28"/>
          <w:szCs w:val="28"/>
          <w:highlight w:val="white"/>
        </w:rPr>
      </w:pPr>
      <w:r/>
      <w:bookmarkStart w:id="0" w:name="_gjdgxs"/>
      <w:r/>
      <w:bookmarkStart w:id="1" w:name="_GoBack"/>
      <w:r/>
      <w:bookmarkEnd w:id="0"/>
      <w:r/>
      <w:bookmarkEnd w:id="1"/>
      <w:r>
        <w:rPr>
          <w:rFonts w:ascii="Times New Roman" w:hAnsi="Times New Roman" w:eastAsia="Times New Roman" w:cs="Times New Roman"/>
          <w:b/>
          <w:sz w:val="28"/>
          <w:szCs w:val="28"/>
          <w:highlight w:val="white"/>
        </w:rPr>
        <w:t xml:space="preserve">Информационная справка 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sz w:val="28"/>
          <w:szCs w:val="28"/>
          <w:highlight w:val="white"/>
        </w:rPr>
      </w:r>
    </w:p>
    <w:p>
      <w:pPr>
        <w:jc w:val="center"/>
        <w:spacing w:after="0" w:line="240" w:lineRule="auto"/>
        <w:tabs>
          <w:tab w:val="left" w:pos="993" w:leader="none"/>
        </w:tabs>
        <w:rPr>
          <w:rFonts w:ascii="Times New Roman" w:hAnsi="Times New Roman" w:cs="Times New Roman"/>
          <w:b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sz w:val="28"/>
          <w:szCs w:val="28"/>
          <w:highlight w:val="white"/>
        </w:rPr>
        <w:t xml:space="preserve">к депутатским слушаниям на тему: </w:t>
      </w:r>
      <w:r>
        <w:rPr>
          <w:rFonts w:ascii="Times New Roman" w:hAnsi="Times New Roman" w:eastAsia="Times New Roman" w:cs="Times New Roman"/>
          <w:b/>
          <w:sz w:val="28"/>
          <w:szCs w:val="28"/>
          <w:highlight w:val="white"/>
        </w:rPr>
        <w:br/>
        <w:t xml:space="preserve">«Об итогах реализации национальных проектов </w:t>
      </w:r>
      <w:r>
        <w:rPr>
          <w:rFonts w:ascii="Times New Roman" w:hAnsi="Times New Roman" w:eastAsia="Times New Roman" w:cs="Times New Roman"/>
          <w:b/>
          <w:sz w:val="28"/>
          <w:szCs w:val="28"/>
          <w:highlight w:val="white"/>
        </w:rPr>
        <w:br/>
        <w:t xml:space="preserve">в Ханты-Мансийском автономном округе – Югре </w:t>
      </w:r>
      <w:r>
        <w:rPr>
          <w:rFonts w:ascii="Times New Roman" w:hAnsi="Times New Roman" w:eastAsia="Times New Roman" w:cs="Times New Roman"/>
          <w:b/>
          <w:sz w:val="28"/>
          <w:szCs w:val="28"/>
          <w:highlight w:val="white"/>
        </w:rPr>
        <w:br/>
        <w:t xml:space="preserve">за 2024 год и отчетный период 2025 года»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sz w:val="28"/>
          <w:szCs w:val="28"/>
          <w:highlight w:val="white"/>
        </w:rPr>
      </w:r>
    </w:p>
    <w:p>
      <w:pPr>
        <w:jc w:val="center"/>
        <w:spacing w:after="0" w:line="240" w:lineRule="auto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white"/>
        </w:rPr>
        <w:t xml:space="preserve"> (Афанасьев С.А.)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</w:p>
    <w:p>
      <w:pPr>
        <w:jc w:val="center"/>
        <w:spacing w:after="0" w:line="240" w:lineRule="auto"/>
        <w:tabs>
          <w:tab w:val="left" w:pos="708" w:leader="none"/>
          <w:tab w:val="center" w:pos="4677" w:leader="none"/>
        </w:tabs>
        <w:rPr>
          <w:rFonts w:ascii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sz w:val="28"/>
          <w:szCs w:val="28"/>
          <w:highlight w:val="white"/>
        </w:rPr>
      </w:r>
    </w:p>
    <w:p>
      <w:pPr>
        <w:ind w:firstLine="709"/>
        <w:jc w:val="both"/>
        <w:spacing w:after="0" w:line="360" w:lineRule="auto"/>
        <w:shd w:val="clear" w:color="ffffff" w:themeColor="background1" w:fill="ffffff" w:themeFill="background1"/>
        <w:tabs>
          <w:tab w:val="center" w:pos="5032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В 2024 году в Ханты-Мансийском автономном округе – Югре реализовывалось 47 региональных проектов в составе 13 национальных проектов (далее – НП).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360" w:lineRule="auto"/>
        <w:shd w:val="clear" w:color="ffffff" w:themeColor="background1" w:fill="ffffff" w:themeFill="background1"/>
        <w:tabs>
          <w:tab w:val="center" w:pos="5032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В связи с запуском новых НП во исполнение Указа Президента Российской Федерации от 07.05.2024 № 309 «О национальных целях развития Российской Федерации на период до 2030 года и на перспективу до 2036 года»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br/>
        <w:t xml:space="preserve">(далее – Указ 309) завершены 46</w:t>
      </w:r>
      <w:r>
        <w:rPr>
          <w:rStyle w:val="1022"/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footnoteReference w:id="2"/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 региональных проектов в составе 12 НП.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360" w:lineRule="auto"/>
        <w:shd w:val="clear" w:color="ffffff" w:themeColor="background1" w:fill="ffffff" w:themeFill="background1"/>
        <w:tabs>
          <w:tab w:val="center" w:pos="5032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Национальный проект «Беспилотные авиационные системы» продолжает реализацию в статусе национального проекта технологического лидерства.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360" w:lineRule="auto"/>
        <w:shd w:val="clear" w:color="ffffff" w:themeColor="background1" w:fill="ffffff" w:themeFill="background1"/>
        <w:tabs>
          <w:tab w:val="center" w:pos="5032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Общий уровень достижения</w:t>
      </w:r>
      <w:r>
        <w:rPr>
          <w:rStyle w:val="1022"/>
          <w:rFonts w:ascii="Times New Roman" w:hAnsi="Times New Roman" w:eastAsia="Times New Roman" w:cs="Times New Roman"/>
          <w:sz w:val="28"/>
          <w:szCs w:val="28"/>
          <w:highlight w:val="white"/>
        </w:rPr>
        <w:footnoteReference w:id="3"/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 региона по состоянию на 31.12.2024 составил 99,91 % – 6 место среди регионов Российской Федерации, 2 место в Уральском Федеральном округе.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360" w:lineRule="auto"/>
        <w:shd w:val="clear" w:color="ffffff" w:themeColor="background1" w:fill="ffffff" w:themeFill="background1"/>
        <w:tabs>
          <w:tab w:val="center" w:pos="5032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По 11 национальным проектам уровень достижения в 2024 году составил 100%, по двум национальным проектам «Здравоохранение» и «Малое и среднее предпринимательство»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–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 99,7 %.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28"/>
        <w:ind w:firstLine="709"/>
        <w:spacing w:before="0" w:after="0" w:line="360" w:lineRule="auto"/>
        <w:rPr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Кассовое исполнение региональных проектов за 2024 год.</w:t>
      </w:r>
      <w:r>
        <w:rPr>
          <w:highlight w:val="white"/>
        </w:rPr>
      </w:r>
      <w:r>
        <w:rPr>
          <w:highlight w:val="white"/>
        </w:rPr>
      </w:r>
    </w:p>
    <w:p>
      <w:pPr>
        <w:ind w:firstLine="709"/>
        <w:jc w:val="both"/>
        <w:spacing w:after="0" w:line="360" w:lineRule="auto"/>
        <w:tabs>
          <w:tab w:val="center" w:pos="5032" w:leader="none"/>
        </w:tabs>
        <w:rPr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На 2024 год на реализацию региональных проектов запланировано в сумме 64,28 млрд. рублей. По итогам года исполнение составило 60,88 млрд рублей, или 94,7 %</w:t>
      </w:r>
      <w:r>
        <w:rPr>
          <w:highlight w:val="white"/>
        </w:rPr>
      </w:r>
      <w:r>
        <w:rPr>
          <w:highlight w:val="white"/>
        </w:rPr>
      </w:r>
    </w:p>
    <w:p>
      <w:pPr>
        <w:ind w:firstLine="709"/>
        <w:jc w:val="both"/>
        <w:spacing w:after="0" w:line="360" w:lineRule="auto"/>
        <w:shd w:val="clear" w:color="ffffff" w:themeColor="background1" w:fill="ffffff" w:themeFill="background1"/>
        <w:rPr>
          <w:rFonts w:ascii="Times New Roman" w:hAnsi="Times New Roman" w:cs="Times New Roman"/>
          <w:sz w:val="28"/>
          <w:szCs w:val="28"/>
          <w:highlight w:val="white"/>
        </w:rPr>
        <w:outlineLvl w:val="2"/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white"/>
        </w:rPr>
        <w:t xml:space="preserve">Брендирование объектов в рамках национальных проектов за 2024 год.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360" w:lineRule="auto"/>
        <w:shd w:val="clear" w:color="ffffff" w:themeColor="background1" w:fill="ffffff" w:themeFill="background1"/>
        <w:rPr>
          <w:rFonts w:ascii="Times New Roman" w:hAnsi="Times New Roman" w:cs="Times New Roman"/>
          <w:sz w:val="28"/>
          <w:szCs w:val="28"/>
          <w:highlight w:val="white"/>
        </w:rPr>
        <w:outlineLvl w:val="2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По данным рейтингов, формируемых АНО «Национальные приоритеты», за 2024 год процент брендирования социально значимых объектов капитального строительства в рамках реализации НП (далее – ОКС) в автономном округе составляет: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360" w:lineRule="auto"/>
        <w:shd w:val="clear" w:color="ffffff" w:themeColor="background1" w:fill="ffffff" w:themeFill="background1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– 100 % фирменным стилем бренда «Национальные проекты России»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br/>
        <w:t xml:space="preserve">(102 ОКС из 102 подлежащих брендированию);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360" w:lineRule="auto"/>
        <w:shd w:val="clear" w:color="ffffff" w:themeColor="background1" w:fill="ffffff" w:themeFill="background1"/>
        <w:rPr>
          <w:rFonts w:ascii="Times New Roman" w:hAnsi="Times New Roman" w:cs="Times New Roman"/>
          <w:strike/>
          <w:color w:val="000000" w:themeColor="text1"/>
          <w:sz w:val="28"/>
          <w:szCs w:val="28"/>
          <w:highlight w:val="white"/>
        </w:rPr>
        <w:outlineLvl w:val="2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– 100 % брендирование QR-кодом для получения обратной связи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br/>
        <w:t xml:space="preserve">(96 ОКС из 96, подлежащих брендированию).</w:t>
      </w:r>
      <w:r>
        <w:rPr>
          <w:rFonts w:ascii="Times New Roman" w:hAnsi="Times New Roman" w:cs="Times New Roman"/>
          <w:strike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strike/>
          <w:color w:val="000000" w:themeColor="text1"/>
          <w:sz w:val="28"/>
          <w:szCs w:val="28"/>
          <w:highlight w:val="white"/>
        </w:rPr>
      </w:r>
    </w:p>
    <w:p>
      <w:pPr>
        <w:pStyle w:val="1017"/>
        <w:ind w:firstLine="709"/>
        <w:jc w:val="both"/>
        <w:spacing w:before="0" w:beforeAutospacing="0" w:after="0" w:afterAutospacing="0" w:line="360" w:lineRule="auto"/>
        <w:rPr>
          <w:b/>
          <w:bCs/>
          <w:strike/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Указом 309 определены семь национальных целей развития, </w:t>
      </w:r>
      <w:r>
        <w:rPr>
          <w:color w:val="000000" w:themeColor="text1"/>
          <w:sz w:val="28"/>
          <w:szCs w:val="28"/>
          <w:highlight w:val="white"/>
        </w:rPr>
        <w:br/>
        <w:t xml:space="preserve">на достижение которых направлены 19 новых НП.</w:t>
      </w:r>
      <w:r>
        <w:rPr>
          <w:b/>
          <w:bCs/>
          <w:strike/>
          <w:color w:val="000000" w:themeColor="text1"/>
          <w:sz w:val="28"/>
          <w:szCs w:val="28"/>
          <w:highlight w:val="white"/>
        </w:rPr>
      </w:r>
      <w:r>
        <w:rPr>
          <w:b/>
          <w:bCs/>
          <w:strike/>
          <w:color w:val="000000" w:themeColor="text1"/>
          <w:sz w:val="28"/>
          <w:szCs w:val="28"/>
          <w:highlight w:val="white"/>
        </w:rPr>
      </w:r>
    </w:p>
    <w:p>
      <w:pPr>
        <w:pStyle w:val="1017"/>
        <w:ind w:firstLine="709"/>
        <w:jc w:val="both"/>
        <w:spacing w:before="0" w:beforeAutospacing="0" w:after="0" w:afterAutospacing="0" w:line="360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Ханты-Мансийский автономный округ – Югра в 2025 году участвует </w:t>
      </w:r>
      <w:r>
        <w:rPr>
          <w:color w:val="000000" w:themeColor="text1"/>
          <w:sz w:val="28"/>
          <w:szCs w:val="28"/>
          <w:highlight w:val="white"/>
        </w:rPr>
        <w:br/>
        <w:t xml:space="preserve">в реализации 39 региональных проектов, направленных на достижение целей и задач 12 НП.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pStyle w:val="1034"/>
        <w:ind w:left="0" w:firstLine="709"/>
        <w:jc w:val="both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ab/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white"/>
        </w:rPr>
        <w:t xml:space="preserve">Кассовое освоение региональных проектов по состоянию на 01.06.2025.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</w:p>
    <w:p>
      <w:pPr>
        <w:pStyle w:val="1017"/>
        <w:ind w:firstLine="709"/>
        <w:jc w:val="both"/>
        <w:spacing w:before="0" w:beforeAutospacing="0" w:after="0" w:afterAutospacing="0" w:line="360" w:lineRule="auto"/>
        <w:rPr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За отчетный период в автономном округе за счет всех источников региональные проекты профинансированы на 23,0 млрд рублей (26 % при плане </w:t>
      </w:r>
      <w:r>
        <w:rPr>
          <w:color w:val="000000" w:themeColor="text1"/>
          <w:sz w:val="28"/>
          <w:szCs w:val="28"/>
          <w:highlight w:val="white"/>
        </w:rPr>
        <w:br/>
      </w:r>
      <w:r>
        <w:rPr>
          <w:color w:val="000000" w:themeColor="text1"/>
          <w:sz w:val="28"/>
          <w:szCs w:val="28"/>
          <w:highlight w:val="none"/>
        </w:rPr>
        <w:t xml:space="preserve">89,5</w:t>
      </w:r>
      <w:r>
        <w:rPr>
          <w:color w:val="000000" w:themeColor="text1"/>
          <w:sz w:val="28"/>
          <w:szCs w:val="28"/>
          <w:highlight w:val="none"/>
        </w:rPr>
        <w:t xml:space="preserve"> м</w:t>
      </w:r>
      <w:r>
        <w:rPr>
          <w:color w:val="000000" w:themeColor="text1"/>
          <w:sz w:val="28"/>
          <w:szCs w:val="28"/>
          <w:highlight w:val="white"/>
        </w:rPr>
        <w:t xml:space="preserve">лрд рублей).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firstLine="709"/>
        <w:jc w:val="both"/>
        <w:spacing w:after="0" w:line="360" w:lineRule="auto"/>
        <w:shd w:val="clear" w:color="ffffff" w:themeColor="background1" w:fill="ffffff" w:themeFill="background1"/>
        <w:tabs>
          <w:tab w:val="center" w:pos="5032" w:leader="none"/>
        </w:tabs>
        <w:rPr>
          <w:bCs/>
          <w:highlight w:val="white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highlight w:val="white"/>
        </w:rPr>
        <w:t xml:space="preserve">Общий УД региона по состоянию на 01.06.2025 составил 99,88 % – 7 место среди регионов Российской Федерации, 1 место в Уральском Федеральном округе. 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highlight w:val="white"/>
        </w:rPr>
        <w:t xml:space="preserve">Достижение показателей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white"/>
        </w:rPr>
        <w:t xml:space="preserve">по состоянию на 01.06.2025.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sz w:val="28"/>
          <w:szCs w:val="28"/>
          <w:highlight w:val="white"/>
        </w:rPr>
      </w:r>
    </w:p>
    <w:p>
      <w:pPr>
        <w:pStyle w:val="1017"/>
        <w:ind w:firstLine="709"/>
        <w:jc w:val="both"/>
        <w:spacing w:before="0" w:beforeAutospacing="0" w:after="0" w:afterAutospacing="0" w:line="360" w:lineRule="auto"/>
        <w:rPr>
          <w:color w:val="000000" w:themeColor="text1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 w:themeColor="text1"/>
          <w:sz w:val="28"/>
          <w:szCs w:val="28"/>
          <w:highlight w:val="white"/>
        </w:rPr>
        <w:t xml:space="preserve">За отчетный период 2025 года в полном объеме достигнуты значения </w:t>
      </w:r>
      <w:r>
        <w:rPr>
          <w:color w:val="000000" w:themeColor="text1"/>
          <w:sz w:val="28"/>
          <w:szCs w:val="28"/>
          <w:highlight w:val="white"/>
        </w:rPr>
        <w:br/>
        <w:t xml:space="preserve">по 54 показателям региональных проектов, или 93,1 % при плане отчетного периода 58 показателей.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pStyle w:val="1017"/>
        <w:ind w:firstLine="709"/>
        <w:jc w:val="both"/>
        <w:spacing w:before="0" w:beforeAutospacing="0" w:after="0" w:afterAutospacing="0" w:line="360" w:lineRule="auto"/>
        <w:rPr>
          <w:color w:val="000000" w:themeColor="text1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 w:themeColor="text1"/>
          <w:sz w:val="28"/>
          <w:szCs w:val="28"/>
          <w:highlight w:val="white"/>
        </w:rPr>
        <w:t xml:space="preserve">По итогам пяти ме</w:t>
      </w:r>
      <w:r>
        <w:rPr>
          <w:color w:val="000000" w:themeColor="text1"/>
          <w:sz w:val="28"/>
          <w:szCs w:val="28"/>
          <w:highlight w:val="white"/>
        </w:rPr>
        <w:t xml:space="preserve">сяцев не в полном объеме исполнено четыре показателя в четырех региональных проектах, направленных на достижение целей и задач двух национальных проектов «Семья» и «Экологическое благополучие» уровень достижения составляет 99,75 % и 99,31 % соответственно: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pacing w:after="0" w:line="360" w:lineRule="auto"/>
        <w:shd w:val="clear" w:color="ffffff" w:fill="ffffff"/>
        <w:rPr>
          <w:rFonts w:ascii="Times New Roman" w:hAnsi="Times New Roman" w:cs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highlight w:val="white"/>
        </w:rPr>
        <w:t xml:space="preserve">Брендирование объектов в рамках национальных проектов по состоянию на 01.06.2025.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360" w:lineRule="auto"/>
        <w:shd w:val="clear" w:color="ffffff" w:fill="ffffff"/>
        <w:rPr>
          <w:rFonts w:ascii="Times New Roman" w:hAnsi="Times New Roman" w:cs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По данным рейтингов, формируемых АНО «Национальные приоритеты», процент брендирования социально значимых объектов капитального строительства в рамках реализации НП (далее – ОКС), за период с января по май 2025 года в автономном округе составляет: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360" w:lineRule="auto"/>
        <w:shd w:val="clear" w:color="ffffff" w:fill="ffffff"/>
        <w:rPr>
          <w:rFonts w:ascii="Times New Roman" w:hAnsi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– 100 % фирменным стилем бренда «Национальные проекты России»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br/>
        <w:t xml:space="preserve"> (19 ОКС из 19 ОКС подлежащих брендированию за период с января по май 2025 года);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</w:r>
    </w:p>
    <w:p>
      <w:pPr>
        <w:ind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outlineLvl w:val="2"/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– 100 % брендирование QR-кодом для получения обратной связи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br/>
        <w:t xml:space="preserve">  (9 ОКС из 9 ОКС, подлежащих брендированию за период с января по май 2025 года).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outlineLvl w:val="2"/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outlineLvl w:val="2"/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outlineLvl w:val="2"/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outlineLvl w:val="2"/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outlineLvl w:val="2"/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outlineLvl w:val="2"/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outlineLvl w:val="2"/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outlineLvl w:val="2"/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outlineLvl w:val="2"/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outlineLvl w:val="2"/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outlineLvl w:val="2"/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outlineLvl w:val="2"/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outlineLvl w:val="2"/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outlineLvl w:val="2"/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outlineLvl w:val="2"/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outlineLvl w:val="2"/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outlineLvl w:val="2"/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outlineLvl w:val="2"/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outlineLvl w:val="2"/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Справочно.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themeColor="background1" w:fill="ffffff" w:themeFill="background1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В связи с завершением реализации национальных проектов за период 2019 – 2024 год также завершены портфели проектов (далее – ПП):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1034"/>
        <w:numPr>
          <w:ilvl w:val="0"/>
          <w:numId w:val="24"/>
        </w:numPr>
        <w:ind w:left="0" w:right="0" w:firstLine="709"/>
        <w:jc w:val="both"/>
        <w:spacing w:after="0" w:line="360" w:lineRule="auto"/>
        <w:shd w:val="clear" w:color="ffffff" w:themeColor="background1" w:fill="ffffff" w:themeFill="background1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highlight w:val="white"/>
        </w:rPr>
        <w:t xml:space="preserve">«Здравоохранение».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1034"/>
        <w:ind w:left="0" w:right="0" w:firstLine="709"/>
        <w:jc w:val="both"/>
        <w:spacing w:after="0" w:line="360" w:lineRule="auto"/>
        <w:shd w:val="clear" w:color="ffffff" w:themeColor="background1" w:fill="ffffff" w:themeFill="background1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В состав НП входят 8 региональных проектов: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1034"/>
        <w:numPr>
          <w:ilvl w:val="0"/>
          <w:numId w:val="3"/>
        </w:numPr>
        <w:ind w:left="0" w:right="0" w:firstLine="709"/>
        <w:jc w:val="both"/>
        <w:spacing w:line="360" w:lineRule="auto"/>
        <w:shd w:val="clear" w:color="ffffff" w:themeColor="background1" w:fill="ffffff" w:themeFill="background1"/>
        <w:tabs>
          <w:tab w:val="clear" w:pos="720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Развитие системы оказания первичной медико-санитарной помощи;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1034"/>
        <w:numPr>
          <w:ilvl w:val="0"/>
          <w:numId w:val="3"/>
        </w:numPr>
        <w:ind w:left="0" w:right="0" w:firstLine="709"/>
        <w:jc w:val="both"/>
        <w:spacing w:line="360" w:lineRule="auto"/>
        <w:shd w:val="clear" w:color="ffffff" w:themeColor="background1" w:fill="ffffff" w:themeFill="background1"/>
        <w:tabs>
          <w:tab w:val="clear" w:pos="720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Борьба с сердечно-сосудистыми заболеваниями;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1034"/>
        <w:numPr>
          <w:ilvl w:val="0"/>
          <w:numId w:val="3"/>
        </w:numPr>
        <w:ind w:left="0" w:right="0" w:firstLine="709"/>
        <w:jc w:val="both"/>
        <w:spacing w:line="360" w:lineRule="auto"/>
        <w:shd w:val="clear" w:color="ffffff" w:themeColor="background1" w:fill="ffffff" w:themeFill="background1"/>
        <w:tabs>
          <w:tab w:val="clear" w:pos="720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Борьба с онкологическими заболеваниями;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1034"/>
        <w:numPr>
          <w:ilvl w:val="0"/>
          <w:numId w:val="3"/>
        </w:numPr>
        <w:ind w:left="0" w:right="0" w:firstLine="709"/>
        <w:jc w:val="both"/>
        <w:spacing w:line="360" w:lineRule="auto"/>
        <w:shd w:val="clear" w:color="ffffff" w:themeColor="background1" w:fill="ffffff" w:themeFill="background1"/>
        <w:tabs>
          <w:tab w:val="clear" w:pos="720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Развитие детского здравоохранения;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1034"/>
        <w:numPr>
          <w:ilvl w:val="0"/>
          <w:numId w:val="3"/>
        </w:numPr>
        <w:ind w:left="0" w:right="0" w:firstLine="709"/>
        <w:jc w:val="both"/>
        <w:spacing w:line="360" w:lineRule="auto"/>
        <w:shd w:val="clear" w:color="ffffff" w:themeColor="background1" w:fill="ffffff" w:themeFill="background1"/>
        <w:tabs>
          <w:tab w:val="clear" w:pos="720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Обеспечение системы здравоохранения квалифицированными кадрами Югры;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1034"/>
        <w:numPr>
          <w:ilvl w:val="0"/>
          <w:numId w:val="3"/>
        </w:numPr>
        <w:ind w:left="0" w:right="0" w:firstLine="709"/>
        <w:jc w:val="both"/>
        <w:spacing w:line="360" w:lineRule="auto"/>
        <w:shd w:val="clear" w:color="ffffff" w:themeColor="background1" w:fill="ffffff" w:themeFill="background1"/>
        <w:tabs>
          <w:tab w:val="clear" w:pos="720" w:leader="none"/>
        </w:tabs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  <w:t xml:space="preserve">Создание единого цифрового контура в здравоохранении (ЕГИСЗ);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1034"/>
        <w:numPr>
          <w:ilvl w:val="0"/>
          <w:numId w:val="3"/>
        </w:numPr>
        <w:ind w:left="0" w:right="0" w:firstLine="709"/>
        <w:jc w:val="both"/>
        <w:spacing w:after="0" w:line="360" w:lineRule="auto"/>
        <w:shd w:val="clear" w:color="ffffff" w:fill="ffffff"/>
        <w:tabs>
          <w:tab w:val="clear" w:pos="72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Развитие экспорта медицинских услуг;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pStyle w:val="1034"/>
        <w:numPr>
          <w:ilvl w:val="0"/>
          <w:numId w:val="3"/>
        </w:numPr>
        <w:ind w:left="0" w:right="0" w:firstLine="709"/>
        <w:jc w:val="both"/>
        <w:spacing w:after="0" w:line="360" w:lineRule="auto"/>
        <w:shd w:val="clear" w:color="ffffff" w:fill="ffffff"/>
        <w:tabs>
          <w:tab w:val="clear" w:pos="72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Модернизация первичного звена здравоохранения.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Основные значимые результаты: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жегодно более 75 тыс. посещений гражданами мобильных медицинских бригад, оснащенных мобильными медицинскими комплексами;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п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оставлено более 300 единиц медицинского оборудования для медицинских организаций;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п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риобретено 9 единиц автомобильного транспорта;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п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роведен капитальный ремонт в 31 медицинский организаций;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з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авершено строительство 19 объектов;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9 462 пациента доставлены в региональные медицинские центры силами санавиации;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жидаемая продолжительность жизни составил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76,15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 лет;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п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риобретено 3 передвижных мобильных комплекса для оказания мед.помощи жителям, находящихся в отдаленных и труднодоступных местностях;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рганизовано 7 центров амбулаторной онкологической помощи.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white"/>
        </w:rPr>
        <w:t xml:space="preserve">2.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white"/>
        </w:rPr>
        <w:t xml:space="preserve">«Демография».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В состав НП входят 5 региональных проектов: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pStyle w:val="1034"/>
        <w:numPr>
          <w:ilvl w:val="0"/>
          <w:numId w:val="40"/>
        </w:num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Финансовая поддержка семей при рождении детей;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pStyle w:val="1034"/>
        <w:numPr>
          <w:ilvl w:val="0"/>
          <w:numId w:val="40"/>
        </w:num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Содействие занятости;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pStyle w:val="1034"/>
        <w:numPr>
          <w:ilvl w:val="0"/>
          <w:numId w:val="40"/>
        </w:num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Старшее поколение;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pStyle w:val="1034"/>
        <w:numPr>
          <w:ilvl w:val="0"/>
          <w:numId w:val="40"/>
        </w:num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Укрепление общественного здоровья;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pStyle w:val="1034"/>
        <w:numPr>
          <w:ilvl w:val="0"/>
          <w:numId w:val="40"/>
        </w:num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Спорт-норма жизни.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Основные значимые результаты: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б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олее 460 тыс. семей, имеющих детей, получили демографически ориентированные меры социальной поддержки. 90,0 тыс. семей получили подарок «Расту в Югре»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п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роведено более 10,5 тыс. циклов ЭКО семьям, страдающим бесплодием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существлена модернизация 2 центров занятости населения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п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роведены мероприятия по созданию 2 704 новых мест в дошкольных образовательных организациях путем перепрофилирования, проведения капитального ремонта, строительства и приобретения объектов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беспечено предоставление услуг с применением стационарозамещающей технологии «Приемная семья для пожилого гражданина, инвалида» для 535 граждан пожилого возраста и инвалидов;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м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обильными бригадами предоставлены социальные услуги 9 966 пожилым гражданам, проживающим в отдаленных местностях, в том числе более 370 граждан старше 65 лет, проживающих в сельской местности;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1,6 тыс. человек граждан старше трудоспособного возраста получили помощь на геронтологических койках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казана государственная поддержка 218 спортивных организаций, ос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уществляющих подготовку спортивного резерва для спортивных сборных команд, в том числе спортивных сборных команд Российской Федерации (приобретено спортивное оборудование, инвентарь, экипировка, организованы тренировочные сборы и участие в соревнованиях);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п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оставлены комплексы спортивного оборудования (малые спортивные формы и футбольные поля) – 6 ед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 спортивные школы олимпийского резерва поставлено новое спортивное оборудование и инвентарь – 10 ед.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white"/>
        </w:rPr>
        <w:t xml:space="preserve">3.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white"/>
        </w:rPr>
        <w:t xml:space="preserve">«Образование».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В состав НП входят 6 региональных проектов: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pStyle w:val="1034"/>
        <w:numPr>
          <w:ilvl w:val="0"/>
          <w:numId w:val="41"/>
        </w:num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Современная школа;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pStyle w:val="1034"/>
        <w:numPr>
          <w:ilvl w:val="0"/>
          <w:numId w:val="41"/>
        </w:num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Успех каждого ребенка;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pStyle w:val="1034"/>
        <w:numPr>
          <w:ilvl w:val="0"/>
          <w:numId w:val="41"/>
        </w:num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Цифровая образовательная среда;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pStyle w:val="1034"/>
        <w:numPr>
          <w:ilvl w:val="0"/>
          <w:numId w:val="41"/>
        </w:num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Социальная активность;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pStyle w:val="1034"/>
        <w:numPr>
          <w:ilvl w:val="0"/>
          <w:numId w:val="41"/>
        </w:num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Патриотическое воспитание граждан Российской Федерации;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pStyle w:val="1034"/>
        <w:numPr>
          <w:ilvl w:val="0"/>
          <w:numId w:val="41"/>
        </w:num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Молодежь России.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Основные значимые результаты: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с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троительство и реконструкция школ и детских садов, введены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br w:type="textWrapping" w:clear="all"/>
        <w:t xml:space="preserve">в эксплуатацию 24 объекта на 14,5 тыс. мест (14 502);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с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озданы 4 школьных технопарка «Кванториум», 91 Центр «Точка роста»;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217 образовательных организаций обеспечены материально-технической базой для внедрения цифровой образовательной среды;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 22 общеобразовательных организациях, расположенных в сельской местности и малых городах, обеспечены условия для занятий детей физической культурой и спортом;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138 тыс. детей и молодежи вовлечены в социально активную деятельность и патриотические проекты;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100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% образовательных организаций используют сервисы ГИС «Образование Югры».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white"/>
        </w:rPr>
        <w:t xml:space="preserve">4.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white"/>
        </w:rPr>
        <w:t xml:space="preserve">«Культура».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В состав НП входят 3 региональных проекта: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pStyle w:val="1034"/>
        <w:numPr>
          <w:ilvl w:val="0"/>
          <w:numId w:val="42"/>
        </w:num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Творческие люди;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pStyle w:val="1034"/>
        <w:numPr>
          <w:ilvl w:val="0"/>
          <w:numId w:val="42"/>
        </w:num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Культурная среда;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pStyle w:val="1034"/>
        <w:numPr>
          <w:ilvl w:val="0"/>
          <w:numId w:val="42"/>
        </w:num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Цифровая культура.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Основные значимые результаты: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п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риобретен передвижной многофункциональный культурный центр (автоклуб)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п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роведен капитальный ремонт 5 детских школ искусств и 4 музеев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ехнически оснащены 12 музеев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48 детских школ искусств оснащены музыкальными инструментами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п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ереоснащены 12 муниципальных библиотек по модельному стандарту;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с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оздано 2 виртуальных концертных зала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п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рисуждена премия Губернатора Югры в области литературы, культуры и искусства 429 жителям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20 любительских творческих коллективов, получивших грантовую поддержку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11,7 тыс. человек принимают участие в добровольческой деятельности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с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оздано 22 выставочных проекта, снабженных цифровыми гидами в формате дополненной реальности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white"/>
        </w:rPr>
        <w:t xml:space="preserve">5.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white"/>
        </w:rPr>
        <w:t xml:space="preserve">«Жилье и городская среда».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В состав НП входят 4 региональных проекта: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pStyle w:val="1034"/>
        <w:numPr>
          <w:ilvl w:val="0"/>
          <w:numId w:val="43"/>
        </w:numPr>
        <w:ind w:left="0" w:right="0" w:firstLine="709"/>
        <w:jc w:val="both"/>
        <w:spacing w:after="0" w:line="360" w:lineRule="auto"/>
        <w:shd w:val="clear" w:color="ffffff" w:fill="ffffff"/>
        <w:tabs>
          <w:tab w:val="clear" w:pos="72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Жилье;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pStyle w:val="1034"/>
        <w:numPr>
          <w:ilvl w:val="0"/>
          <w:numId w:val="43"/>
        </w:numPr>
        <w:ind w:left="0" w:right="0" w:firstLine="709"/>
        <w:jc w:val="both"/>
        <w:spacing w:after="0" w:line="360" w:lineRule="auto"/>
        <w:shd w:val="clear" w:color="ffffff" w:fill="ffffff"/>
        <w:tabs>
          <w:tab w:val="clear" w:pos="72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Формирование комфортной городской среды;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pStyle w:val="1034"/>
        <w:numPr>
          <w:ilvl w:val="0"/>
          <w:numId w:val="43"/>
        </w:numPr>
        <w:ind w:left="0" w:right="0" w:firstLine="709"/>
        <w:jc w:val="both"/>
        <w:spacing w:after="0" w:line="360" w:lineRule="auto"/>
        <w:shd w:val="clear" w:color="ffffff" w:fill="ffffff"/>
        <w:tabs>
          <w:tab w:val="clear" w:pos="72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Обеспечение устойчивого сокращения непригодного для проживания жилищного фонда;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pStyle w:val="1034"/>
        <w:numPr>
          <w:ilvl w:val="0"/>
          <w:numId w:val="43"/>
        </w:numPr>
        <w:ind w:left="0" w:right="0" w:firstLine="709"/>
        <w:jc w:val="both"/>
        <w:spacing w:after="0" w:line="360" w:lineRule="auto"/>
        <w:shd w:val="clear" w:color="ffffff" w:fill="ffffff"/>
        <w:tabs>
          <w:tab w:val="clear" w:pos="720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Чистая вода.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Основные значимые результаты: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ведено 5,5 млн квадратных метров жилья;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ведены в эксплуатацию две (2) дороги в г. Нижневартовск (улица Северная 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т улицы Интернациональной до улицы Первопоселенцев. улица Героев Самотлора от улицы №21 до улицы Северной, улица Первопоселенцев от улицы Северной до улицы Нововартовской) и одна (1) в г. Югорск (улица Магистральная) в рамках реализации программы «Стимул»;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р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асселено 904,4 тыс. квадратных метров аварийного жилья, переселены 57,3 тыс. граждан;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п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остроены и введены в эксплуатацию семь водоочистных сооружений: два ВОС в г. Пыть-Яхе, два – в Сургутском районе, по одному – в                                 г. Нефтеюганске, Нефтеюганском районе п. Каркатеевы и в Октябрьском районе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90,5 % населения, обеспечены качественной питьевой водой из систем централизованного водоснабжения.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white"/>
        </w:rPr>
        <w:t xml:space="preserve">6.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white"/>
        </w:rPr>
        <w:t xml:space="preserve">«Безопасные качественные дороги».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В состав НП входят 3 региональных проекта: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pStyle w:val="1034"/>
        <w:numPr>
          <w:ilvl w:val="0"/>
          <w:numId w:val="44"/>
        </w:num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Общесистемные меры развития дорожного хозяйства;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pStyle w:val="1034"/>
        <w:numPr>
          <w:ilvl w:val="0"/>
          <w:numId w:val="44"/>
        </w:num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Региональная и местная дорожная сеть;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pStyle w:val="1034"/>
        <w:numPr>
          <w:ilvl w:val="0"/>
          <w:numId w:val="44"/>
        </w:num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Безопасность дорожного движения.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Основные значимые результаты: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з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акуплено 2 передвижных и 11 стационарных комплексов фотовидеофиксации нарушений ПДД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з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авершено внедрение интеллектуальной транспортной системы в г.Сургуте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п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роведено строительство и реконструкция 118 км региональной сети дорог, 7 км улично-дорожной сети городских агломераций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п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роведен капитальный ремонт и ремонт свыше 646 км региональной сети дорог, устройство освещения 77 км и устройство тротуаров 8,018 км региональной сети дорог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п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роложено 125 км улично-дорожной сети городских агломераций;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п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риведены в нормативное состояние 26,70 км региональной сети дорог за счет выполнения работ по устройству слоев износа проезжей части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бновлено свыше 4,5 тыс. погонных метров мостовых сооружений.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white"/>
        </w:rPr>
        <w:t xml:space="preserve">7.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white"/>
        </w:rPr>
        <w:t xml:space="preserve">«Экология».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В состав НП входят 3 региональных проекта: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pStyle w:val="1034"/>
        <w:numPr>
          <w:ilvl w:val="0"/>
          <w:numId w:val="45"/>
        </w:num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Чистая страна;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pStyle w:val="1034"/>
        <w:numPr>
          <w:ilvl w:val="0"/>
          <w:numId w:val="45"/>
        </w:num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Комплексная система обращения с твердыми коммунальными отходами;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pStyle w:val="1034"/>
        <w:numPr>
          <w:ilvl w:val="0"/>
          <w:numId w:val="45"/>
        </w:num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Сохранение лесов.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Основные значимые результаты: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з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авершена ликвидация свалок твердых бытовых отходов на 8-м км автодороги Нефтеюганск – Сургут, в п.Федоровский Сургутского района и рекультивация полигона по утилизации и захоронению отходов производства и потребления городского округа Нижневартовск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к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омплексный межмуниципальный полигон для городов Нефтеюганск и Пыть-Ях, поселений Нефтеюганского района, мощностью 90 тысяч тонн в год начал принимать отходы в декабре 2022 года. На полигоне осуществляется 100 % сортировка поступающих отходов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п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роведены работы по лесовосстановлению и лесоразведению на общей площади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26,91 тыс. га.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white"/>
        </w:rPr>
        <w:t xml:space="preserve">8.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white"/>
        </w:rPr>
        <w:t xml:space="preserve">«Туризм».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В состав НП входит 1 региональный проект: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pStyle w:val="1034"/>
        <w:numPr>
          <w:ilvl w:val="0"/>
          <w:numId w:val="46"/>
        </w:num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Развитие туристической инфраструктуры.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Основные значимые результаты: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у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становлено кафе на пляжной зоне базы отдыха в г.Нягани, кафе и санитарный модуль на создаваемом национальном туристском маршруте в г. Нягани и Ханты-Мансийском районе;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р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асширена инфраструктура на четырех (4) базах отдыха в г.Когалыме, г. Нижневартовске, г.Нягани и Сургутском районе (веревочные парки, туристическое оборудование и т.д.)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п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роведена модернизация горнолыжного комплекса (пропускной пункт с применением турникета) в Нижневартовском районе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з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начение показателя «Число туристских поездок» в 2024 году достигнуто, составило 0,70 млн человек при плановом значении – 0,61 млн человек.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white"/>
        </w:rPr>
        <w:t xml:space="preserve">9.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white"/>
        </w:rPr>
        <w:t xml:space="preserve">«Международная кооперация и экспорт».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В состав НП входят 4 региональных проекта: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pStyle w:val="1034"/>
        <w:numPr>
          <w:ilvl w:val="0"/>
          <w:numId w:val="47"/>
        </w:num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Экспорт продукции АПК;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pStyle w:val="1034"/>
        <w:numPr>
          <w:ilvl w:val="0"/>
          <w:numId w:val="47"/>
        </w:num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Системные меры развития международной кооперации и экспорта;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pStyle w:val="1034"/>
        <w:numPr>
          <w:ilvl w:val="0"/>
          <w:numId w:val="47"/>
        </w:num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Промышленный экспорт (по инициативе автономного округа);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pStyle w:val="1034"/>
        <w:numPr>
          <w:ilvl w:val="0"/>
          <w:numId w:val="47"/>
        </w:num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Развитие экспортно-ориентированных производств в Ханты-Мансийском автономном округе – Югре (по инициативе автономного округа).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Основные значимые результаты: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Охвачены мерами поддержки экспорта 1 343 экспортно-ориентированных компаний (2019 год – 126 компаний, 2024 год – 408 компаний);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За счет внедрения Регионального экспортного стандарта 2.0: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у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величено количество экспортеров автономного округа – на 94 % в 2024 году в сравнении с 2019 годом (2019 год – 88 экспортеров, 2024 год – 171 экспортер);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ыросла доля экспорта субъектов малого и средн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его предпринимательства (далее – субъекты МСП) в общем объеме экспорта несырьевых неэнергетических товаров региона – на 21 пункт в 2024 году по сравнению с 2019 годом. По итогам 2024 года объем несырьевого неэнергетического экспорта субъектов МСП составил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38,2 млн долларов США – на 58% больше, чем в 2019 году (24,1 млн долларов США);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69 субъектов малого и среднего предпринимательства заключили экспортные контракты в 58 стран на сумму 34,5 млн долларов США или 2,8 млрд. рублей</w:t>
      </w:r>
      <w:r>
        <w:rPr>
          <w:rFonts w:eastAsia="Times New Roman" w:cs="Times New Roman"/>
          <w:color w:val="000000"/>
          <w:sz w:val="28"/>
          <w:szCs w:val="28"/>
          <w:highlight w:val="white"/>
        </w:rPr>
        <w:footnoteReference w:id="4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 (в 2024 году – 22 субъектов МСП на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сумму 6,5 млн долларов США или 666,8 млн рублей; в 2019 году – 15 субъектов МСП на сумму 3,28 млн долларов США или 203,1 млн рублей). Эффективность экспортной поддержки за 2024 год составила 48 рублей экспортной выручки на 1 рубль предоставленной субсидии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частника Всероссийской премии «Экспортер года».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white"/>
        </w:rPr>
        <w:t xml:space="preserve">10.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white"/>
        </w:rPr>
        <w:t xml:space="preserve">«Малое и среднее предпринимательство».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В состав НП входят 3 региональных проекта: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pStyle w:val="1034"/>
        <w:numPr>
          <w:ilvl w:val="0"/>
          <w:numId w:val="49"/>
        </w:num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Создание благоприятных условий для осуществления деятельности самозанятыми гражданами;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pStyle w:val="1034"/>
        <w:numPr>
          <w:ilvl w:val="0"/>
          <w:numId w:val="49"/>
        </w:num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Создание условий для легкого старта и комфортного ведения бизнеса;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pStyle w:val="1034"/>
        <w:numPr>
          <w:ilvl w:val="0"/>
          <w:numId w:val="49"/>
        </w:num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Акселерация субъектов МСП.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Основные значимые результаты: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ч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исленность занятых в сфере малого и среднего предпринимательства, включая индивидуальных предпринимателей увеличилась на 22,3 % и составила 269,2 тыс. человек (в 2020 году – 220,1 тыс. человек);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к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оличество самозанятых увеличилось в 7,5 раз и составило 103 тыс. человек (в 2020 году – 13,8 тыс. человек);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п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редоставлено 7 980 мер финансовой поддержки на общую сумму 18 261,5 млн рублей, в том числе: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1 214 поручительств (независимых гарантий) на сумму 13 335,1 млн рублей по кредитным договорам субъектов МСП, что позволило привлечь финансирование в размере 25 327,8 млн рублей;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1 520 льготных микрозаймов субъектам МСП и самозанятым гражданам на сумму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3 873,2 млн рублей;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4 751 компенсаций части затрат субъектов МСП, в т.ч.  банковской процентной ставки и лизинговых платежей, приобретение оборудования, аренда нежилых помещений, коммунальные платежи и др. на сумму 795,3 млн рублей;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131 субъектам МСП предоставлен «Экспортный кешбэк», «Страховой кешбэк», «Кешбэк на маркетплейсы», «Инновационный сертификат» на общую сумму 83,6 млн рублей;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364 гранта социальным предприятиям и молодым предпринимателям на сумму  174,3 млн рублей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11 571 комплексных услуг, а также информационно-консультационных и образов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ательных услуг в офлайн- и онлайн-форматах предоставлены начинающим и действующим предпринимателям и гражданам, желающим вести бизнес, на единой площадке региональной инфраструктуры поддержки бизнеса в Фонде поддержки предпринимательства Югры «Мой Бизнес»;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25 599 человек воспользовались образовательной поддержкой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Предоставленные меры государственной поддержки субъектам малого и среднего предпринимательства способствовали: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- росту оборота предприятий малого и среднего бизнеса на 28 %, который по итогам 2024 года составил 662 млрд рублей (за 2021 год - 517,3 млрд рублей);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- росту налоговых поступлений от субъектов малого и среднего предпринимательства на 59 %, которые по итогам 2024 года составили 39,9 млрд рублей (за 2021 год – 25,1 млрд рублей).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white"/>
        </w:rPr>
        <w:t xml:space="preserve">11.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white"/>
        </w:rPr>
        <w:t xml:space="preserve">«Производительность труда».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В состав НП входят 2 региональных проекта: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pStyle w:val="1034"/>
        <w:numPr>
          <w:ilvl w:val="0"/>
          <w:numId w:val="50"/>
        </w:num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Системные меры по повышению производительности труда;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pStyle w:val="1034"/>
        <w:numPr>
          <w:ilvl w:val="0"/>
          <w:numId w:val="50"/>
        </w:num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Адресная поддержка повышения производительности труда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br/>
        <w:t xml:space="preserve">на предприятиях.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Основные значимые результаты: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п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редприятиям предоставлена возможность по внедрению лучших практик (типовых решений) и получению услуг по повышению производительности труда посредством специализированных центров компетенций на федеральном и региональном уровне;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59 предприятий приняли участие в национальном проекте;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подготовлено 85 инструкторов по бережливому производству;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31 % среднее снижение времени протекания процессов;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60 % среднее увеличение выработки;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43 %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 среднее снижение незавершённого производства.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white"/>
        </w:rPr>
        <w:t xml:space="preserve">12.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white"/>
        </w:rPr>
        <w:t xml:space="preserve">«Цифровая экономика».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В состав НП входят 5 региональных проектов: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pStyle w:val="1034"/>
        <w:numPr>
          <w:ilvl w:val="0"/>
          <w:numId w:val="51"/>
        </w:num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Информационная инфраструктура;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pStyle w:val="1034"/>
        <w:numPr>
          <w:ilvl w:val="0"/>
          <w:numId w:val="51"/>
        </w:num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Кадры для цифровой экономики;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pStyle w:val="1034"/>
        <w:numPr>
          <w:ilvl w:val="0"/>
          <w:numId w:val="51"/>
        </w:num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Информационная безопасность;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pStyle w:val="1034"/>
        <w:numPr>
          <w:ilvl w:val="0"/>
          <w:numId w:val="51"/>
        </w:num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Цифровые технологии;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pStyle w:val="1034"/>
        <w:numPr>
          <w:ilvl w:val="0"/>
          <w:numId w:val="51"/>
        </w:num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Цифровое государственное управление.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Основные значимые результаты: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д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о 1 часа снижен средний срок простоя государственных информационных систем в результате компьютерных атак, за счет внедрения средств межсетевого экранирования, обнаружения вторжений, анализа уязвимостей, а также защиты web-приложений;  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100 % расходов на закупки и/или аренду отечественного программного обеспечения и платформ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от общих расходов на закупку или аренду программного обеспечения, что снижает зависимость от иностранных технологий и повышает устойчивость национальной информационной инфраструктуры к внешним воздействиям и санкциям, укрепляет цифровой суверенитет страны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у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ровень удовлетворенности качеством предоставления массовых социально значимых государственных и муниципальных услуг в электронном виде с использованием Единого портала государственных и муниципальных услуг (ЕПГУ) составляет 4,5 балла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д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t xml:space="preserve">оля массовых социально значимых государственных и муниципальных услуг в электронном виде, предоставляемых с использованием ЕПГУ, от общего количества таких услуг, предоставляемых в электронном виде, составляет 100 %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9"/>
        <w:jc w:val="both"/>
        <w:spacing w:after="0" w:line="360" w:lineRule="auto"/>
        <w:shd w:val="clear" w:color="ffffff" w:fill="ffffff"/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sectPr>
      <w:headerReference w:type="default" r:id="rId9"/>
      <w:footerReference w:type="default" r:id="rId10"/>
      <w:footnotePr/>
      <w:endnotePr/>
      <w:type w:val="nextPage"/>
      <w:pgSz w:w="11906" w:h="16838" w:orient="portrait"/>
      <w:pgMar w:top="1134" w:right="850" w:bottom="1134" w:left="1531" w:header="426" w:footer="140" w:gutter="0"/>
      <w:pgNumType w:start="1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Courier New">
    <w:panose1 w:val="02070309020205020404"/>
  </w:font>
  <w:font w:name="Wingdings">
    <w:panose1 w:val="05000000000000000000"/>
  </w:font>
  <w:font w:name="Georgia">
    <w:panose1 w:val="02040502050405020303"/>
  </w:font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jc w:val="right"/>
      <w:spacing w:after="0" w:line="240" w:lineRule="auto"/>
      <w:tabs>
        <w:tab w:val="center" w:pos="4677" w:leader="none"/>
        <w:tab w:val="right" w:pos="9355" w:leader="none"/>
      </w:tabs>
      <w:rPr>
        <w:color w:val="000000"/>
      </w:rPr>
    </w:pPr>
    <w:r>
      <w:rPr>
        <w:color w:val="000000"/>
      </w:rPr>
    </w:r>
    <w:r>
      <w:rPr>
        <w:color w:val="000000"/>
      </w:rPr>
    </w:r>
    <w:r>
      <w:rPr>
        <w:color w:val="000000"/>
      </w:rPr>
    </w:r>
  </w:p>
  <w:p>
    <w:pPr>
      <w:spacing w:after="0" w:line="240" w:lineRule="auto"/>
      <w:tabs>
        <w:tab w:val="center" w:pos="4677" w:leader="none"/>
        <w:tab w:val="right" w:pos="9355" w:leader="none"/>
      </w:tabs>
      <w:rPr>
        <w:color w:val="000000"/>
      </w:rPr>
    </w:pPr>
    <w:r>
      <w:rPr>
        <w:color w:val="000000"/>
      </w:rPr>
    </w:r>
    <w:r>
      <w:rPr>
        <w:color w:val="000000"/>
      </w:rPr>
    </w:r>
    <w:r>
      <w:rPr>
        <w:color w:val="000000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  <w:footnote w:id="2">
    <w:p>
      <w:pPr>
        <w:pStyle w:val="1016"/>
        <w:jc w:val="both"/>
        <w:rPr>
          <w:rFonts w:ascii="Times New Roman" w:hAnsi="Times New Roman" w:cs="Times New Roman"/>
        </w:rPr>
      </w:pPr>
      <w:r>
        <w:rPr>
          <w:rStyle w:val="1022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Национальный проект «Беспилотные авиационные системы» продолжает реализацию в статусе национального проекта технологического лидерства.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</w:footnote>
  <w:footnote w:id="3">
    <w:p>
      <w:pPr>
        <w:pStyle w:val="1016"/>
        <w:jc w:val="both"/>
        <w:rPr>
          <w:rFonts w:ascii="Times New Roman" w:hAnsi="Times New Roman" w:cs="Times New Roman"/>
        </w:rPr>
      </w:pPr>
      <w:r>
        <w:rPr>
          <w:rStyle w:val="1022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Уровень достижения – это интегральный показатель успешности реализации региональных и национальных проектов, рассчитывается автоматически в Государственной автоматизир</w:t>
      </w:r>
      <w:r>
        <w:rPr>
          <w:rFonts w:ascii="Times New Roman" w:hAnsi="Times New Roman" w:cs="Times New Roman"/>
        </w:rPr>
        <w:t xml:space="preserve">ованной системе «Управление» на основе данных из ГИИС «Электронный бюджет», информационных систем Федерального казначейства и других источников. Включает в себя достижение показателей и результатов. На текущий момент в расчет не входит кассовое исполнение.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</w:footnote>
  <w:footnote w:id="4">
    <w:p>
      <w:pPr>
        <w:pStyle w:val="1034"/>
        <w:ind w:left="426"/>
        <w:jc w:val="both"/>
        <w:spacing w:after="0" w:line="240" w:lineRule="auto"/>
        <w:shd w:val="clear" w:color="ffffff" w:fill="ffffff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 xml:space="preserve"> Перерасчет производится по состоянию на 31 декабря отчетного года</w:t>
      </w:r>
      <w:r>
        <w:rPr>
          <w:rFonts w:ascii="Times New Roman" w:hAnsi="Times New Roman"/>
          <w:sz w:val="18"/>
          <w:szCs w:val="18"/>
        </w:rPr>
      </w:r>
      <w:r>
        <w:rPr>
          <w:rFonts w:ascii="Times New Roman" w:hAnsi="Times New Roman"/>
          <w:sz w:val="18"/>
          <w:szCs w:val="18"/>
        </w:rPr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jc w:val="center"/>
      <w:spacing w:after="0" w:line="240" w:lineRule="auto"/>
      <w:tabs>
        <w:tab w:val="center" w:pos="4677" w:leader="none"/>
        <w:tab w:val="right" w:pos="9355" w:leader="none"/>
      </w:tabs>
      <w:rPr>
        <w:rFonts w:ascii="Times New Roman" w:hAnsi="Times New Roman" w:eastAsia="Times New Roman" w:cs="Times New Roman"/>
        <w:color w:val="000000"/>
        <w:sz w:val="28"/>
        <w:szCs w:val="28"/>
      </w:rPr>
    </w:pPr>
    <w:r>
      <w:rPr>
        <w:rFonts w:ascii="Times New Roman" w:hAnsi="Times New Roman" w:eastAsia="Times New Roman" w:cs="Times New Roman"/>
        <w:color w:val="000000"/>
        <w:sz w:val="24"/>
        <w:szCs w:val="24"/>
      </w:rPr>
      <w:fldChar w:fldCharType="begin"/>
    </w:r>
    <w:r>
      <w:rPr>
        <w:rFonts w:ascii="Times New Roman" w:hAnsi="Times New Roman" w:eastAsia="Times New Roman" w:cs="Times New Roman"/>
        <w:color w:val="000000"/>
        <w:sz w:val="24"/>
        <w:szCs w:val="24"/>
      </w:rPr>
      <w:instrText xml:space="preserve">PAGE</w:instrText>
    </w:r>
    <w:r>
      <w:rPr>
        <w:rFonts w:ascii="Times New Roman" w:hAnsi="Times New Roman" w:eastAsia="Times New Roman" w:cs="Times New Roman"/>
        <w:color w:val="000000"/>
        <w:sz w:val="24"/>
        <w:szCs w:val="24"/>
      </w:rPr>
      <w:fldChar w:fldCharType="separate"/>
    </w:r>
    <w:r>
      <w:rPr>
        <w:rFonts w:ascii="Times New Roman" w:hAnsi="Times New Roman" w:eastAsia="Times New Roman" w:cs="Times New Roman"/>
        <w:color w:val="000000"/>
        <w:sz w:val="24"/>
        <w:szCs w:val="24"/>
      </w:rPr>
      <w:t xml:space="preserve">4</w:t>
    </w:r>
    <w:r>
      <w:rPr>
        <w:rFonts w:ascii="Times New Roman" w:hAnsi="Times New Roman" w:eastAsia="Times New Roman" w:cs="Times New Roman"/>
        <w:color w:val="000000"/>
        <w:sz w:val="24"/>
        <w:szCs w:val="24"/>
      </w:rPr>
      <w:fldChar w:fldCharType="end"/>
    </w:r>
    <w:r>
      <w:rPr>
        <w:rFonts w:ascii="Times New Roman" w:hAnsi="Times New Roman" w:eastAsia="Times New Roman" w:cs="Times New Roman"/>
        <w:color w:val="000000"/>
        <w:sz w:val="28"/>
        <w:szCs w:val="28"/>
      </w:rPr>
    </w:r>
    <w:r>
      <w:rPr>
        <w:rFonts w:ascii="Times New Roman" w:hAnsi="Times New Roman" w:eastAsia="Times New Roman" w:cs="Times New Roman"/>
        <w:color w:val="000000"/>
        <w:sz w:val="28"/>
        <w:szCs w:val="28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 w:ascii="Times New Roman" w:hAnsi="Times New Roman" w:eastAsia="Times New Roman" w:cs="Times New Roman"/>
        <w:b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720" w:hanging="360"/>
        <w:tabs>
          <w:tab w:val="num" w:pos="720" w:leader="none"/>
        </w:tabs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"/>
      <w:lvlJc w:val="left"/>
      <w:pPr>
        <w:ind w:left="1440" w:hanging="360"/>
        <w:tabs>
          <w:tab w:val="num" w:pos="1440" w:leader="none"/>
        </w:tabs>
      </w:pPr>
      <w:rPr>
        <w:rFonts w:hint="default" w:ascii="Wingdings" w:hAnsi="Wingdings"/>
      </w:rPr>
    </w:lvl>
    <w:lvl w:ilvl="2">
      <w:start w:val="1"/>
      <w:numFmt w:val="bullet"/>
      <w:isLgl w:val="false"/>
      <w:suff w:val="tab"/>
      <w:lvlText w:val="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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</w:rPr>
    </w:lvl>
    <w:lvl w:ilvl="4">
      <w:start w:val="1"/>
      <w:numFmt w:val="bullet"/>
      <w:isLgl w:val="false"/>
      <w:suff w:val="tab"/>
      <w:lvlText w:val="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</w:rPr>
    </w:lvl>
    <w:lvl w:ilvl="5">
      <w:start w:val="1"/>
      <w:numFmt w:val="bullet"/>
      <w:isLgl w:val="false"/>
      <w:suff w:val="tab"/>
      <w:lvlText w:val="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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</w:rPr>
    </w:lvl>
    <w:lvl w:ilvl="7">
      <w:start w:val="1"/>
      <w:numFmt w:val="bullet"/>
      <w:isLgl w:val="false"/>
      <w:suff w:val="tab"/>
      <w:lvlText w:val="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</w:rPr>
    </w:lvl>
    <w:lvl w:ilvl="8">
      <w:start w:val="1"/>
      <w:numFmt w:val="bullet"/>
      <w:isLgl w:val="false"/>
      <w:suff w:val="tab"/>
      <w:lvlText w:val="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720" w:hanging="360"/>
        <w:tabs>
          <w:tab w:val="num" w:pos="720" w:leader="none"/>
        </w:tabs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"/>
      <w:lvlJc w:val="left"/>
      <w:pPr>
        <w:ind w:left="1440" w:hanging="360"/>
        <w:tabs>
          <w:tab w:val="num" w:pos="1440" w:leader="none"/>
        </w:tabs>
      </w:pPr>
      <w:rPr>
        <w:rFonts w:hint="default" w:ascii="Wingdings" w:hAnsi="Wingdings"/>
      </w:rPr>
    </w:lvl>
    <w:lvl w:ilvl="2">
      <w:start w:val="1"/>
      <w:numFmt w:val="bullet"/>
      <w:isLgl w:val="false"/>
      <w:suff w:val="tab"/>
      <w:lvlText w:val="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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</w:rPr>
    </w:lvl>
    <w:lvl w:ilvl="4">
      <w:start w:val="1"/>
      <w:numFmt w:val="bullet"/>
      <w:isLgl w:val="false"/>
      <w:suff w:val="tab"/>
      <w:lvlText w:val="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</w:rPr>
    </w:lvl>
    <w:lvl w:ilvl="5">
      <w:start w:val="1"/>
      <w:numFmt w:val="bullet"/>
      <w:isLgl w:val="false"/>
      <w:suff w:val="tab"/>
      <w:lvlText w:val="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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</w:rPr>
    </w:lvl>
    <w:lvl w:ilvl="7">
      <w:start w:val="1"/>
      <w:numFmt w:val="bullet"/>
      <w:isLgl w:val="false"/>
      <w:suff w:val="tab"/>
      <w:lvlText w:val="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</w:rPr>
    </w:lvl>
    <w:lvl w:ilvl="8">
      <w:start w:val="1"/>
      <w:numFmt w:val="bullet"/>
      <w:isLgl w:val="false"/>
      <w:suff w:val="tab"/>
      <w:lvlText w:val="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720" w:hanging="360"/>
        <w:tabs>
          <w:tab w:val="num" w:pos="720" w:leader="none"/>
        </w:tabs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"/>
      <w:lvlJc w:val="left"/>
      <w:pPr>
        <w:ind w:left="1440" w:hanging="360"/>
        <w:tabs>
          <w:tab w:val="num" w:pos="1440" w:leader="none"/>
        </w:tabs>
      </w:pPr>
      <w:rPr>
        <w:rFonts w:hint="default" w:ascii="Wingdings" w:hAnsi="Wingdings"/>
      </w:rPr>
    </w:lvl>
    <w:lvl w:ilvl="2">
      <w:start w:val="1"/>
      <w:numFmt w:val="bullet"/>
      <w:isLgl w:val="false"/>
      <w:suff w:val="tab"/>
      <w:lvlText w:val="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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</w:rPr>
    </w:lvl>
    <w:lvl w:ilvl="4">
      <w:start w:val="1"/>
      <w:numFmt w:val="bullet"/>
      <w:isLgl w:val="false"/>
      <w:suff w:val="tab"/>
      <w:lvlText w:val="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</w:rPr>
    </w:lvl>
    <w:lvl w:ilvl="5">
      <w:start w:val="1"/>
      <w:numFmt w:val="bullet"/>
      <w:isLgl w:val="false"/>
      <w:suff w:val="tab"/>
      <w:lvlText w:val="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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</w:rPr>
    </w:lvl>
    <w:lvl w:ilvl="7">
      <w:start w:val="1"/>
      <w:numFmt w:val="bullet"/>
      <w:isLgl w:val="false"/>
      <w:suff w:val="tab"/>
      <w:lvlText w:val="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</w:rPr>
    </w:lvl>
    <w:lvl w:ilvl="8">
      <w:start w:val="1"/>
      <w:numFmt w:val="bullet"/>
      <w:isLgl w:val="false"/>
      <w:suff w:val="tab"/>
      <w:lvlText w:val="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 w:ascii="Times New Roman" w:hAnsi="Times New Roman" w:eastAsia="Times New Roman" w:cs="Times New Roman"/>
        <w:b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70" w:hanging="360"/>
      </w:pPr>
      <w:rPr>
        <w:rFonts w:hint="default" w:ascii="Times New Roman" w:hAnsi="Times New Roman" w:eastAsia="Times New Roman" w:cs="Times New Roman"/>
        <w:b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9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1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3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5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7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9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1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30" w:hanging="18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720" w:hanging="360"/>
        <w:tabs>
          <w:tab w:val="num" w:pos="720" w:leader="none"/>
        </w:tabs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"/>
      <w:lvlJc w:val="left"/>
      <w:pPr>
        <w:ind w:left="1440" w:hanging="360"/>
        <w:tabs>
          <w:tab w:val="num" w:pos="1440" w:leader="none"/>
        </w:tabs>
      </w:pPr>
      <w:rPr>
        <w:rFonts w:hint="default" w:ascii="Wingdings" w:hAnsi="Wingdings"/>
      </w:rPr>
    </w:lvl>
    <w:lvl w:ilvl="2">
      <w:start w:val="1"/>
      <w:numFmt w:val="bullet"/>
      <w:isLgl w:val="false"/>
      <w:suff w:val="tab"/>
      <w:lvlText w:val="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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</w:rPr>
    </w:lvl>
    <w:lvl w:ilvl="4">
      <w:start w:val="1"/>
      <w:numFmt w:val="bullet"/>
      <w:isLgl w:val="false"/>
      <w:suff w:val="tab"/>
      <w:lvlText w:val="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</w:rPr>
    </w:lvl>
    <w:lvl w:ilvl="5">
      <w:start w:val="1"/>
      <w:numFmt w:val="bullet"/>
      <w:isLgl w:val="false"/>
      <w:suff w:val="tab"/>
      <w:lvlText w:val="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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</w:rPr>
    </w:lvl>
    <w:lvl w:ilvl="7">
      <w:start w:val="1"/>
      <w:numFmt w:val="bullet"/>
      <w:isLgl w:val="false"/>
      <w:suff w:val="tab"/>
      <w:lvlText w:val="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</w:rPr>
    </w:lvl>
    <w:lvl w:ilvl="8">
      <w:start w:val="1"/>
      <w:numFmt w:val="bullet"/>
      <w:isLgl w:val="false"/>
      <w:suff w:val="tab"/>
      <w:lvlText w:val="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720" w:hanging="360"/>
        <w:tabs>
          <w:tab w:val="num" w:pos="720" w:leader="none"/>
        </w:tabs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"/>
      <w:lvlJc w:val="left"/>
      <w:pPr>
        <w:ind w:left="1440" w:hanging="360"/>
        <w:tabs>
          <w:tab w:val="num" w:pos="1440" w:leader="none"/>
        </w:tabs>
      </w:pPr>
      <w:rPr>
        <w:rFonts w:hint="default" w:ascii="Wingdings" w:hAnsi="Wingdings"/>
      </w:rPr>
    </w:lvl>
    <w:lvl w:ilvl="2">
      <w:start w:val="1"/>
      <w:numFmt w:val="bullet"/>
      <w:isLgl w:val="false"/>
      <w:suff w:val="tab"/>
      <w:lvlText w:val="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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</w:rPr>
    </w:lvl>
    <w:lvl w:ilvl="4">
      <w:start w:val="1"/>
      <w:numFmt w:val="bullet"/>
      <w:isLgl w:val="false"/>
      <w:suff w:val="tab"/>
      <w:lvlText w:val="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</w:rPr>
    </w:lvl>
    <w:lvl w:ilvl="5">
      <w:start w:val="1"/>
      <w:numFmt w:val="bullet"/>
      <w:isLgl w:val="false"/>
      <w:suff w:val="tab"/>
      <w:lvlText w:val="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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</w:rPr>
    </w:lvl>
    <w:lvl w:ilvl="7">
      <w:start w:val="1"/>
      <w:numFmt w:val="bullet"/>
      <w:isLgl w:val="false"/>
      <w:suff w:val="tab"/>
      <w:lvlText w:val="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</w:rPr>
    </w:lvl>
    <w:lvl w:ilvl="8">
      <w:start w:val="1"/>
      <w:numFmt w:val="bullet"/>
      <w:isLgl w:val="false"/>
      <w:suff w:val="tab"/>
      <w:lvlText w:val="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720" w:hanging="360"/>
        <w:tabs>
          <w:tab w:val="num" w:pos="720" w:leader="none"/>
        </w:tabs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"/>
      <w:lvlJc w:val="left"/>
      <w:pPr>
        <w:ind w:left="1440" w:hanging="360"/>
        <w:tabs>
          <w:tab w:val="num" w:pos="1440" w:leader="none"/>
        </w:tabs>
      </w:pPr>
      <w:rPr>
        <w:rFonts w:hint="default" w:ascii="Wingdings" w:hAnsi="Wingdings"/>
      </w:rPr>
    </w:lvl>
    <w:lvl w:ilvl="2">
      <w:start w:val="1"/>
      <w:numFmt w:val="bullet"/>
      <w:isLgl w:val="false"/>
      <w:suff w:val="tab"/>
      <w:lvlText w:val="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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</w:rPr>
    </w:lvl>
    <w:lvl w:ilvl="4">
      <w:start w:val="1"/>
      <w:numFmt w:val="bullet"/>
      <w:isLgl w:val="false"/>
      <w:suff w:val="tab"/>
      <w:lvlText w:val="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</w:rPr>
    </w:lvl>
    <w:lvl w:ilvl="5">
      <w:start w:val="1"/>
      <w:numFmt w:val="bullet"/>
      <w:isLgl w:val="false"/>
      <w:suff w:val="tab"/>
      <w:lvlText w:val="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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</w:rPr>
    </w:lvl>
    <w:lvl w:ilvl="7">
      <w:start w:val="1"/>
      <w:numFmt w:val="bullet"/>
      <w:isLgl w:val="false"/>
      <w:suff w:val="tab"/>
      <w:lvlText w:val="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</w:rPr>
    </w:lvl>
    <w:lvl w:ilvl="8">
      <w:start w:val="1"/>
      <w:numFmt w:val="bullet"/>
      <w:isLgl w:val="false"/>
      <w:suff w:val="tab"/>
      <w:lvlText w:val="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720" w:hanging="360"/>
        <w:tabs>
          <w:tab w:val="num" w:pos="720" w:leader="none"/>
        </w:tabs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"/>
      <w:lvlJc w:val="left"/>
      <w:pPr>
        <w:ind w:left="1440" w:hanging="360"/>
        <w:tabs>
          <w:tab w:val="num" w:pos="1440" w:leader="none"/>
        </w:tabs>
      </w:pPr>
      <w:rPr>
        <w:rFonts w:hint="default" w:ascii="Wingdings" w:hAnsi="Wingdings"/>
      </w:rPr>
    </w:lvl>
    <w:lvl w:ilvl="2">
      <w:start w:val="1"/>
      <w:numFmt w:val="bullet"/>
      <w:isLgl w:val="false"/>
      <w:suff w:val="tab"/>
      <w:lvlText w:val="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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</w:rPr>
    </w:lvl>
    <w:lvl w:ilvl="4">
      <w:start w:val="1"/>
      <w:numFmt w:val="bullet"/>
      <w:isLgl w:val="false"/>
      <w:suff w:val="tab"/>
      <w:lvlText w:val="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</w:rPr>
    </w:lvl>
    <w:lvl w:ilvl="5">
      <w:start w:val="1"/>
      <w:numFmt w:val="bullet"/>
      <w:isLgl w:val="false"/>
      <w:suff w:val="tab"/>
      <w:lvlText w:val="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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</w:rPr>
    </w:lvl>
    <w:lvl w:ilvl="7">
      <w:start w:val="1"/>
      <w:numFmt w:val="bullet"/>
      <w:isLgl w:val="false"/>
      <w:suff w:val="tab"/>
      <w:lvlText w:val="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</w:rPr>
    </w:lvl>
    <w:lvl w:ilvl="8">
      <w:start w:val="1"/>
      <w:numFmt w:val="bullet"/>
      <w:isLgl w:val="false"/>
      <w:suff w:val="tab"/>
      <w:lvlText w:val="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70" w:hanging="360"/>
      </w:pPr>
      <w:rPr>
        <w:rFonts w:hint="default" w:ascii="Times New Roman" w:hAnsi="Times New Roman" w:eastAsia="Times New Roman" w:cs="Times New Roman"/>
        <w:b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9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1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3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5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7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9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1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30" w:hanging="180"/>
      </w:p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36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70" w:hanging="360"/>
      </w:pPr>
      <w:rPr>
        <w:rFonts w:hint="default" w:ascii="Times New Roman" w:hAnsi="Times New Roman" w:eastAsia="Times New Roman" w:cs="Times New Roman"/>
        <w:b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9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1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3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5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7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9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1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30" w:hanging="180"/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720" w:hanging="360"/>
        <w:tabs>
          <w:tab w:val="num" w:pos="720" w:leader="none"/>
        </w:tabs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"/>
      <w:lvlJc w:val="left"/>
      <w:pPr>
        <w:ind w:left="1440" w:hanging="360"/>
        <w:tabs>
          <w:tab w:val="num" w:pos="1440" w:leader="none"/>
        </w:tabs>
      </w:pPr>
      <w:rPr>
        <w:rFonts w:hint="default" w:ascii="Wingdings" w:hAnsi="Wingdings"/>
      </w:rPr>
    </w:lvl>
    <w:lvl w:ilvl="2">
      <w:start w:val="1"/>
      <w:numFmt w:val="bullet"/>
      <w:isLgl w:val="false"/>
      <w:suff w:val="tab"/>
      <w:lvlText w:val="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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</w:rPr>
    </w:lvl>
    <w:lvl w:ilvl="4">
      <w:start w:val="1"/>
      <w:numFmt w:val="bullet"/>
      <w:isLgl w:val="false"/>
      <w:suff w:val="tab"/>
      <w:lvlText w:val="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</w:rPr>
    </w:lvl>
    <w:lvl w:ilvl="5">
      <w:start w:val="1"/>
      <w:numFmt w:val="bullet"/>
      <w:isLgl w:val="false"/>
      <w:suff w:val="tab"/>
      <w:lvlText w:val="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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</w:rPr>
    </w:lvl>
    <w:lvl w:ilvl="7">
      <w:start w:val="1"/>
      <w:numFmt w:val="bullet"/>
      <w:isLgl w:val="false"/>
      <w:suff w:val="tab"/>
      <w:lvlText w:val="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</w:rPr>
    </w:lvl>
    <w:lvl w:ilvl="8">
      <w:start w:val="1"/>
      <w:numFmt w:val="bullet"/>
      <w:isLgl w:val="false"/>
      <w:suff w:val="tab"/>
      <w:lvlText w:val="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54"/>
      <w:numFmt w:val="decimal"/>
      <w:isLgl w:val="false"/>
      <w:suff w:val="tab"/>
      <w:lvlText w:val="%1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720" w:hanging="360"/>
        <w:tabs>
          <w:tab w:val="num" w:pos="720" w:leader="none"/>
        </w:tabs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"/>
      <w:lvlJc w:val="left"/>
      <w:pPr>
        <w:ind w:left="1440" w:hanging="360"/>
        <w:tabs>
          <w:tab w:val="num" w:pos="1440" w:leader="none"/>
        </w:tabs>
      </w:pPr>
      <w:rPr>
        <w:rFonts w:hint="default" w:ascii="Wingdings" w:hAnsi="Wingdings"/>
      </w:rPr>
    </w:lvl>
    <w:lvl w:ilvl="2">
      <w:start w:val="1"/>
      <w:numFmt w:val="bullet"/>
      <w:isLgl w:val="false"/>
      <w:suff w:val="tab"/>
      <w:lvlText w:val="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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</w:rPr>
    </w:lvl>
    <w:lvl w:ilvl="4">
      <w:start w:val="1"/>
      <w:numFmt w:val="bullet"/>
      <w:isLgl w:val="false"/>
      <w:suff w:val="tab"/>
      <w:lvlText w:val="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</w:rPr>
    </w:lvl>
    <w:lvl w:ilvl="5">
      <w:start w:val="1"/>
      <w:numFmt w:val="bullet"/>
      <w:isLgl w:val="false"/>
      <w:suff w:val="tab"/>
      <w:lvlText w:val="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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</w:rPr>
    </w:lvl>
    <w:lvl w:ilvl="7">
      <w:start w:val="1"/>
      <w:numFmt w:val="bullet"/>
      <w:isLgl w:val="false"/>
      <w:suff w:val="tab"/>
      <w:lvlText w:val="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</w:rPr>
    </w:lvl>
    <w:lvl w:ilvl="8">
      <w:start w:val="1"/>
      <w:numFmt w:val="bullet"/>
      <w:isLgl w:val="false"/>
      <w:suff w:val="tab"/>
      <w:lvlText w:val="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720" w:hanging="360"/>
        <w:tabs>
          <w:tab w:val="num" w:pos="720" w:leader="none"/>
        </w:tabs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"/>
      <w:lvlJc w:val="left"/>
      <w:pPr>
        <w:ind w:left="1440" w:hanging="360"/>
        <w:tabs>
          <w:tab w:val="num" w:pos="1440" w:leader="none"/>
        </w:tabs>
      </w:pPr>
      <w:rPr>
        <w:rFonts w:hint="default" w:ascii="Wingdings" w:hAnsi="Wingdings"/>
      </w:rPr>
    </w:lvl>
    <w:lvl w:ilvl="2">
      <w:start w:val="1"/>
      <w:numFmt w:val="bullet"/>
      <w:isLgl w:val="false"/>
      <w:suff w:val="tab"/>
      <w:lvlText w:val="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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</w:rPr>
    </w:lvl>
    <w:lvl w:ilvl="4">
      <w:start w:val="1"/>
      <w:numFmt w:val="bullet"/>
      <w:isLgl w:val="false"/>
      <w:suff w:val="tab"/>
      <w:lvlText w:val="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</w:rPr>
    </w:lvl>
    <w:lvl w:ilvl="5">
      <w:start w:val="1"/>
      <w:numFmt w:val="bullet"/>
      <w:isLgl w:val="false"/>
      <w:suff w:val="tab"/>
      <w:lvlText w:val="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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</w:rPr>
    </w:lvl>
    <w:lvl w:ilvl="7">
      <w:start w:val="1"/>
      <w:numFmt w:val="bullet"/>
      <w:isLgl w:val="false"/>
      <w:suff w:val="tab"/>
      <w:lvlText w:val="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</w:rPr>
    </w:lvl>
    <w:lvl w:ilvl="8">
      <w:start w:val="1"/>
      <w:numFmt w:val="bullet"/>
      <w:isLgl w:val="false"/>
      <w:suff w:val="tab"/>
      <w:lvlText w:val="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 w:ascii="Times New Roman" w:hAnsi="Times New Roman" w:eastAsia="Times New Roman" w:cs="Times New Roman"/>
        <w:b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 w:ascii="Times New Roman" w:hAnsi="Times New Roman" w:eastAsia="Times New Roman" w:cs="Times New Roman"/>
        <w:b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 w:ascii="Times New Roman" w:hAnsi="Times New Roman" w:eastAsia="Times New Roman" w:cs="Times New Roman"/>
        <w:b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 w:ascii="Times New Roman" w:hAnsi="Times New Roman" w:eastAsia="Times New Roman" w:cs="Times New Roman"/>
        <w:b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6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8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0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2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4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6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8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0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27" w:hanging="360"/>
      </w:pPr>
      <w:rPr>
        <w:rFonts w:hint="default" w:ascii="Wingdings" w:hAnsi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720" w:hanging="360"/>
        <w:tabs>
          <w:tab w:val="num" w:pos="720" w:leader="none"/>
        </w:tabs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"/>
      <w:lvlJc w:val="left"/>
      <w:pPr>
        <w:ind w:left="1440" w:hanging="360"/>
        <w:tabs>
          <w:tab w:val="num" w:pos="1440" w:leader="none"/>
        </w:tabs>
      </w:pPr>
      <w:rPr>
        <w:rFonts w:hint="default" w:ascii="Wingdings" w:hAnsi="Wingdings"/>
      </w:rPr>
    </w:lvl>
    <w:lvl w:ilvl="2">
      <w:start w:val="1"/>
      <w:numFmt w:val="bullet"/>
      <w:isLgl w:val="false"/>
      <w:suff w:val="tab"/>
      <w:lvlText w:val="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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</w:rPr>
    </w:lvl>
    <w:lvl w:ilvl="4">
      <w:start w:val="1"/>
      <w:numFmt w:val="bullet"/>
      <w:isLgl w:val="false"/>
      <w:suff w:val="tab"/>
      <w:lvlText w:val="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</w:rPr>
    </w:lvl>
    <w:lvl w:ilvl="5">
      <w:start w:val="1"/>
      <w:numFmt w:val="bullet"/>
      <w:isLgl w:val="false"/>
      <w:suff w:val="tab"/>
      <w:lvlText w:val="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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</w:rPr>
    </w:lvl>
    <w:lvl w:ilvl="7">
      <w:start w:val="1"/>
      <w:numFmt w:val="bullet"/>
      <w:isLgl w:val="false"/>
      <w:suff w:val="tab"/>
      <w:lvlText w:val="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</w:rPr>
    </w:lvl>
    <w:lvl w:ilvl="8">
      <w:start w:val="1"/>
      <w:numFmt w:val="bullet"/>
      <w:isLgl w:val="false"/>
      <w:suff w:val="tab"/>
      <w:lvlText w:val="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24">
    <w:multiLevelType w:val="hybridMultilevel"/>
    <w:lvl w:ilvl="0">
      <w:start w:val="100"/>
      <w:numFmt w:val="decimal"/>
      <w:isLgl w:val="false"/>
      <w:suff w:val="tab"/>
      <w:lvlText w:val="%1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720" w:hanging="360"/>
        <w:tabs>
          <w:tab w:val="num" w:pos="720" w:leader="none"/>
        </w:tabs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"/>
      <w:lvlJc w:val="left"/>
      <w:pPr>
        <w:ind w:left="1440" w:hanging="360"/>
        <w:tabs>
          <w:tab w:val="num" w:pos="1440" w:leader="none"/>
        </w:tabs>
      </w:pPr>
      <w:rPr>
        <w:rFonts w:hint="default" w:ascii="Wingdings" w:hAnsi="Wingdings"/>
      </w:rPr>
    </w:lvl>
    <w:lvl w:ilvl="2">
      <w:start w:val="1"/>
      <w:numFmt w:val="bullet"/>
      <w:isLgl w:val="false"/>
      <w:suff w:val="tab"/>
      <w:lvlText w:val="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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</w:rPr>
    </w:lvl>
    <w:lvl w:ilvl="4">
      <w:start w:val="1"/>
      <w:numFmt w:val="bullet"/>
      <w:isLgl w:val="false"/>
      <w:suff w:val="tab"/>
      <w:lvlText w:val="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</w:rPr>
    </w:lvl>
    <w:lvl w:ilvl="5">
      <w:start w:val="1"/>
      <w:numFmt w:val="bullet"/>
      <w:isLgl w:val="false"/>
      <w:suff w:val="tab"/>
      <w:lvlText w:val="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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</w:rPr>
    </w:lvl>
    <w:lvl w:ilvl="7">
      <w:start w:val="1"/>
      <w:numFmt w:val="bullet"/>
      <w:isLgl w:val="false"/>
      <w:suff w:val="tab"/>
      <w:lvlText w:val="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</w:rPr>
    </w:lvl>
    <w:lvl w:ilvl="8">
      <w:start w:val="1"/>
      <w:numFmt w:val="bullet"/>
      <w:isLgl w:val="false"/>
      <w:suff w:val="tab"/>
      <w:lvlText w:val="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1429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720" w:hanging="360"/>
        <w:tabs>
          <w:tab w:val="num" w:pos="720" w:leader="none"/>
        </w:tabs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"/>
      <w:lvlJc w:val="left"/>
      <w:pPr>
        <w:ind w:left="1440" w:hanging="360"/>
        <w:tabs>
          <w:tab w:val="num" w:pos="1440" w:leader="none"/>
        </w:tabs>
      </w:pPr>
      <w:rPr>
        <w:rFonts w:hint="default" w:ascii="Wingdings" w:hAnsi="Wingdings"/>
      </w:rPr>
    </w:lvl>
    <w:lvl w:ilvl="2">
      <w:start w:val="1"/>
      <w:numFmt w:val="bullet"/>
      <w:isLgl w:val="false"/>
      <w:suff w:val="tab"/>
      <w:lvlText w:val="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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</w:rPr>
    </w:lvl>
    <w:lvl w:ilvl="4">
      <w:start w:val="1"/>
      <w:numFmt w:val="bullet"/>
      <w:isLgl w:val="false"/>
      <w:suff w:val="tab"/>
      <w:lvlText w:val="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</w:rPr>
    </w:lvl>
    <w:lvl w:ilvl="5">
      <w:start w:val="1"/>
      <w:numFmt w:val="bullet"/>
      <w:isLgl w:val="false"/>
      <w:suff w:val="tab"/>
      <w:lvlText w:val="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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</w:rPr>
    </w:lvl>
    <w:lvl w:ilvl="7">
      <w:start w:val="1"/>
      <w:numFmt w:val="bullet"/>
      <w:isLgl w:val="false"/>
      <w:suff w:val="tab"/>
      <w:lvlText w:val="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</w:rPr>
    </w:lvl>
    <w:lvl w:ilvl="8">
      <w:start w:val="1"/>
      <w:numFmt w:val="bullet"/>
      <w:isLgl w:val="false"/>
      <w:suff w:val="tab"/>
      <w:lvlText w:val="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2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070" w:hanging="360"/>
      </w:pPr>
      <w:rPr>
        <w:rFonts w:hint="default"/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79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1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3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5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7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9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1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30" w:hanging="180"/>
      </w:p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720" w:hanging="360"/>
        <w:tabs>
          <w:tab w:val="num" w:pos="720" w:leader="none"/>
        </w:tabs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"/>
      <w:lvlJc w:val="left"/>
      <w:pPr>
        <w:ind w:left="1440" w:hanging="360"/>
        <w:tabs>
          <w:tab w:val="num" w:pos="1440" w:leader="none"/>
        </w:tabs>
      </w:pPr>
      <w:rPr>
        <w:rFonts w:hint="default" w:ascii="Wingdings" w:hAnsi="Wingdings"/>
      </w:rPr>
    </w:lvl>
    <w:lvl w:ilvl="2">
      <w:start w:val="1"/>
      <w:numFmt w:val="bullet"/>
      <w:isLgl w:val="false"/>
      <w:suff w:val="tab"/>
      <w:lvlText w:val="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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</w:rPr>
    </w:lvl>
    <w:lvl w:ilvl="4">
      <w:start w:val="1"/>
      <w:numFmt w:val="bullet"/>
      <w:isLgl w:val="false"/>
      <w:suff w:val="tab"/>
      <w:lvlText w:val="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</w:rPr>
    </w:lvl>
    <w:lvl w:ilvl="5">
      <w:start w:val="1"/>
      <w:numFmt w:val="bullet"/>
      <w:isLgl w:val="false"/>
      <w:suff w:val="tab"/>
      <w:lvlText w:val="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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</w:rPr>
    </w:lvl>
    <w:lvl w:ilvl="7">
      <w:start w:val="1"/>
      <w:numFmt w:val="bullet"/>
      <w:isLgl w:val="false"/>
      <w:suff w:val="tab"/>
      <w:lvlText w:val="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</w:rPr>
    </w:lvl>
    <w:lvl w:ilvl="8">
      <w:start w:val="1"/>
      <w:numFmt w:val="bullet"/>
      <w:isLgl w:val="false"/>
      <w:suff w:val="tab"/>
      <w:lvlText w:val="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720" w:hanging="360"/>
        <w:tabs>
          <w:tab w:val="num" w:pos="720" w:leader="none"/>
        </w:tabs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"/>
      <w:lvlJc w:val="left"/>
      <w:pPr>
        <w:ind w:left="1440" w:hanging="360"/>
        <w:tabs>
          <w:tab w:val="num" w:pos="1440" w:leader="none"/>
        </w:tabs>
      </w:pPr>
      <w:rPr>
        <w:rFonts w:hint="default" w:ascii="Wingdings" w:hAnsi="Wingdings"/>
      </w:rPr>
    </w:lvl>
    <w:lvl w:ilvl="2">
      <w:start w:val="1"/>
      <w:numFmt w:val="bullet"/>
      <w:isLgl w:val="false"/>
      <w:suff w:val="tab"/>
      <w:lvlText w:val="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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</w:rPr>
    </w:lvl>
    <w:lvl w:ilvl="4">
      <w:start w:val="1"/>
      <w:numFmt w:val="bullet"/>
      <w:isLgl w:val="false"/>
      <w:suff w:val="tab"/>
      <w:lvlText w:val="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</w:rPr>
    </w:lvl>
    <w:lvl w:ilvl="5">
      <w:start w:val="1"/>
      <w:numFmt w:val="bullet"/>
      <w:isLgl w:val="false"/>
      <w:suff w:val="tab"/>
      <w:lvlText w:val="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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</w:rPr>
    </w:lvl>
    <w:lvl w:ilvl="7">
      <w:start w:val="1"/>
      <w:numFmt w:val="bullet"/>
      <w:isLgl w:val="false"/>
      <w:suff w:val="tab"/>
      <w:lvlText w:val="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</w:rPr>
    </w:lvl>
    <w:lvl w:ilvl="8">
      <w:start w:val="1"/>
      <w:numFmt w:val="bullet"/>
      <w:isLgl w:val="false"/>
      <w:suff w:val="tab"/>
      <w:lvlText w:val="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720" w:hanging="360"/>
        <w:tabs>
          <w:tab w:val="num" w:pos="720" w:leader="none"/>
        </w:tabs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"/>
      <w:lvlJc w:val="left"/>
      <w:pPr>
        <w:ind w:left="1440" w:hanging="360"/>
        <w:tabs>
          <w:tab w:val="num" w:pos="1440" w:leader="none"/>
        </w:tabs>
      </w:pPr>
      <w:rPr>
        <w:rFonts w:hint="default" w:ascii="Wingdings" w:hAnsi="Wingdings"/>
      </w:rPr>
    </w:lvl>
    <w:lvl w:ilvl="2">
      <w:start w:val="1"/>
      <w:numFmt w:val="bullet"/>
      <w:isLgl w:val="false"/>
      <w:suff w:val="tab"/>
      <w:lvlText w:val="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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</w:rPr>
    </w:lvl>
    <w:lvl w:ilvl="4">
      <w:start w:val="1"/>
      <w:numFmt w:val="bullet"/>
      <w:isLgl w:val="false"/>
      <w:suff w:val="tab"/>
      <w:lvlText w:val="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</w:rPr>
    </w:lvl>
    <w:lvl w:ilvl="5">
      <w:start w:val="1"/>
      <w:numFmt w:val="bullet"/>
      <w:isLgl w:val="false"/>
      <w:suff w:val="tab"/>
      <w:lvlText w:val="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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</w:rPr>
    </w:lvl>
    <w:lvl w:ilvl="7">
      <w:start w:val="1"/>
      <w:numFmt w:val="bullet"/>
      <w:isLgl w:val="false"/>
      <w:suff w:val="tab"/>
      <w:lvlText w:val="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</w:rPr>
    </w:lvl>
    <w:lvl w:ilvl="8">
      <w:start w:val="1"/>
      <w:numFmt w:val="bullet"/>
      <w:isLgl w:val="false"/>
      <w:suff w:val="tab"/>
      <w:lvlText w:val="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33">
    <w:multiLevelType w:val="hybridMultilevel"/>
    <w:lvl w:ilvl="0">
      <w:start w:val="43"/>
      <w:numFmt w:val="decimal"/>
      <w:isLgl w:val="false"/>
      <w:suff w:val="tab"/>
      <w:lvlText w:val="%1"/>
      <w:lvlJc w:val="left"/>
      <w:pPr>
        <w:ind w:left="1069" w:hanging="360"/>
      </w:pPr>
      <w:rPr>
        <w:rFonts w:hint="default" w:ascii="Times New Roman" w:hAnsi="Times New Roman"/>
        <w:i/>
        <w:sz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70" w:hanging="360"/>
      </w:pPr>
      <w:rPr>
        <w:rFonts w:hint="default" w:ascii="Times New Roman" w:hAnsi="Times New Roman" w:eastAsia="Times New Roman" w:cs="Times New Roman"/>
        <w:b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9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1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3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5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7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9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1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30" w:hanging="180"/>
      </w:p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789" w:hanging="720"/>
      </w:pPr>
      <w:rPr>
        <w:rFonts w:hint="default" w:ascii="Times New Roman" w:hAnsi="Times New Roman" w:eastAsia="Times New Roman" w:cs="Times New Roman"/>
        <w:sz w:val="28"/>
        <w:highlight w:val="white"/>
      </w:rPr>
    </w:lvl>
    <w:lvl w:ilvl="2">
      <w:start w:val="1"/>
      <w:numFmt w:val="decimal"/>
      <w:isLgl/>
      <w:suff w:val="tab"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70" w:hanging="360"/>
      </w:pPr>
      <w:rPr>
        <w:rFonts w:hint="default" w:ascii="Times New Roman" w:hAnsi="Times New Roman" w:eastAsia="Times New Roman" w:cs="Times New Roman"/>
        <w:b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9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1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3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5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7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9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1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30" w:hanging="180"/>
      </w:p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720" w:hanging="360"/>
        <w:tabs>
          <w:tab w:val="num" w:pos="720" w:leader="none"/>
        </w:tabs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"/>
      <w:lvlJc w:val="left"/>
      <w:pPr>
        <w:ind w:left="1440" w:hanging="360"/>
        <w:tabs>
          <w:tab w:val="num" w:pos="1440" w:leader="none"/>
        </w:tabs>
      </w:pPr>
      <w:rPr>
        <w:rFonts w:hint="default" w:ascii="Wingdings" w:hAnsi="Wingdings"/>
      </w:rPr>
    </w:lvl>
    <w:lvl w:ilvl="2">
      <w:start w:val="1"/>
      <w:numFmt w:val="bullet"/>
      <w:isLgl w:val="false"/>
      <w:suff w:val="tab"/>
      <w:lvlText w:val="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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</w:rPr>
    </w:lvl>
    <w:lvl w:ilvl="4">
      <w:start w:val="1"/>
      <w:numFmt w:val="bullet"/>
      <w:isLgl w:val="false"/>
      <w:suff w:val="tab"/>
      <w:lvlText w:val="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</w:rPr>
    </w:lvl>
    <w:lvl w:ilvl="5">
      <w:start w:val="1"/>
      <w:numFmt w:val="bullet"/>
      <w:isLgl w:val="false"/>
      <w:suff w:val="tab"/>
      <w:lvlText w:val="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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</w:rPr>
    </w:lvl>
    <w:lvl w:ilvl="7">
      <w:start w:val="1"/>
      <w:numFmt w:val="bullet"/>
      <w:isLgl w:val="false"/>
      <w:suff w:val="tab"/>
      <w:lvlText w:val="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</w:rPr>
    </w:lvl>
    <w:lvl w:ilvl="8">
      <w:start w:val="1"/>
      <w:numFmt w:val="bullet"/>
      <w:isLgl w:val="false"/>
      <w:suff w:val="tab"/>
      <w:lvlText w:val="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720" w:hanging="360"/>
        <w:tabs>
          <w:tab w:val="num" w:pos="720" w:leader="none"/>
        </w:tabs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"/>
      <w:lvlJc w:val="left"/>
      <w:pPr>
        <w:ind w:left="1440" w:hanging="360"/>
        <w:tabs>
          <w:tab w:val="num" w:pos="1440" w:leader="none"/>
        </w:tabs>
      </w:pPr>
      <w:rPr>
        <w:rFonts w:hint="default" w:ascii="Wingdings" w:hAnsi="Wingdings"/>
      </w:rPr>
    </w:lvl>
    <w:lvl w:ilvl="2">
      <w:start w:val="1"/>
      <w:numFmt w:val="bullet"/>
      <w:isLgl w:val="false"/>
      <w:suff w:val="tab"/>
      <w:lvlText w:val="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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</w:rPr>
    </w:lvl>
    <w:lvl w:ilvl="4">
      <w:start w:val="1"/>
      <w:numFmt w:val="bullet"/>
      <w:isLgl w:val="false"/>
      <w:suff w:val="tab"/>
      <w:lvlText w:val="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</w:rPr>
    </w:lvl>
    <w:lvl w:ilvl="5">
      <w:start w:val="1"/>
      <w:numFmt w:val="bullet"/>
      <w:isLgl w:val="false"/>
      <w:suff w:val="tab"/>
      <w:lvlText w:val="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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</w:rPr>
    </w:lvl>
    <w:lvl w:ilvl="7">
      <w:start w:val="1"/>
      <w:numFmt w:val="bullet"/>
      <w:isLgl w:val="false"/>
      <w:suff w:val="tab"/>
      <w:lvlText w:val="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</w:rPr>
    </w:lvl>
    <w:lvl w:ilvl="8">
      <w:start w:val="1"/>
      <w:numFmt w:val="bullet"/>
      <w:isLgl w:val="false"/>
      <w:suff w:val="tab"/>
      <w:lvlText w:val="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ü"/>
      <w:lvlJc w:val="left"/>
      <w:pPr>
        <w:ind w:left="720" w:hanging="360"/>
      </w:pPr>
      <w:rPr>
        <w:rFonts w:ascii="Wingdings" w:hAnsi="Wingdings" w:eastAsia="Wingdings" w:cs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720" w:hanging="360"/>
        <w:tabs>
          <w:tab w:val="num" w:pos="720" w:leader="none"/>
        </w:tabs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720" w:hanging="360"/>
        <w:tabs>
          <w:tab w:val="num" w:pos="720" w:leader="none"/>
        </w:tabs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2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720" w:hanging="360"/>
        <w:tabs>
          <w:tab w:val="num" w:pos="720" w:leader="none"/>
        </w:tabs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3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720" w:hanging="360"/>
        <w:tabs>
          <w:tab w:val="num" w:pos="720" w:leader="none"/>
        </w:tabs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4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720" w:hanging="360"/>
        <w:tabs>
          <w:tab w:val="num" w:pos="720" w:leader="none"/>
        </w:tabs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5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1418" w:hanging="360"/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46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1418" w:hanging="360"/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8">
    <w:multiLevelType w:val="hybridMultilevel"/>
    <w:lvl w:ilvl="0">
      <w:start w:val="1"/>
      <w:numFmt w:val="bullet"/>
      <w:isLgl w:val="false"/>
      <w:suff w:val="tab"/>
      <w:lvlText w:val="ü"/>
      <w:lvlJc w:val="left"/>
      <w:pPr>
        <w:ind w:left="720" w:hanging="360"/>
      </w:pPr>
      <w:rPr>
        <w:rFonts w:ascii="Wingdings" w:hAnsi="Wingdings" w:eastAsia="Wingdings" w:cs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9">
    <w:multiLevelType w:val="hybridMultilevel"/>
    <w:lvl w:ilvl="0">
      <w:start w:val="1"/>
      <w:numFmt w:val="bullet"/>
      <w:isLgl w:val="false"/>
      <w:suff w:val="tab"/>
      <w:lvlText w:val="ü"/>
      <w:lvlJc w:val="left"/>
      <w:pPr>
        <w:ind w:left="720" w:hanging="360"/>
      </w:pPr>
      <w:rPr>
        <w:rFonts w:ascii="Wingdings" w:hAnsi="Wingdings" w:eastAsia="Wingdings" w:cs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0">
    <w:multiLevelType w:val="hybridMultilevel"/>
    <w:lvl w:ilvl="0">
      <w:start w:val="1"/>
      <w:numFmt w:val="bullet"/>
      <w:isLgl w:val="false"/>
      <w:suff w:val="tab"/>
      <w:lvlText w:val="ü"/>
      <w:lvlJc w:val="left"/>
      <w:pPr>
        <w:ind w:left="720" w:hanging="360"/>
      </w:pPr>
      <w:rPr>
        <w:rFonts w:ascii="Wingdings" w:hAnsi="Wingdings" w:eastAsia="Wingdings" w:cs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35"/>
  </w:num>
  <w:num w:numId="2">
    <w:abstractNumId w:val="28"/>
  </w:num>
  <w:num w:numId="3">
    <w:abstractNumId w:val="37"/>
  </w:num>
  <w:num w:numId="4">
    <w:abstractNumId w:val="31"/>
  </w:num>
  <w:num w:numId="5">
    <w:abstractNumId w:val="26"/>
  </w:num>
  <w:num w:numId="6">
    <w:abstractNumId w:val="8"/>
  </w:num>
  <w:num w:numId="7">
    <w:abstractNumId w:val="32"/>
  </w:num>
  <w:num w:numId="8">
    <w:abstractNumId w:val="27"/>
  </w:num>
  <w:num w:numId="9">
    <w:abstractNumId w:val="7"/>
  </w:num>
  <w:num w:numId="10">
    <w:abstractNumId w:val="1"/>
  </w:num>
  <w:num w:numId="11">
    <w:abstractNumId w:val="2"/>
  </w:num>
  <w:num w:numId="12">
    <w:abstractNumId w:val="16"/>
  </w:num>
  <w:num w:numId="13">
    <w:abstractNumId w:val="38"/>
  </w:num>
  <w:num w:numId="14">
    <w:abstractNumId w:val="30"/>
  </w:num>
  <w:num w:numId="15">
    <w:abstractNumId w:val="3"/>
  </w:num>
  <w:num w:numId="16">
    <w:abstractNumId w:val="14"/>
  </w:num>
  <w:num w:numId="17">
    <w:abstractNumId w:val="17"/>
  </w:num>
  <w:num w:numId="18">
    <w:abstractNumId w:val="10"/>
  </w:num>
  <w:num w:numId="19">
    <w:abstractNumId w:val="23"/>
  </w:num>
  <w:num w:numId="20">
    <w:abstractNumId w:val="25"/>
  </w:num>
  <w:num w:numId="21">
    <w:abstractNumId w:val="29"/>
  </w:num>
  <w:num w:numId="22">
    <w:abstractNumId w:val="12"/>
  </w:num>
  <w:num w:numId="23">
    <w:abstractNumId w:val="9"/>
  </w:num>
  <w:num w:numId="24">
    <w:abstractNumId w:val="11"/>
  </w:num>
  <w:num w:numId="25">
    <w:abstractNumId w:val="6"/>
  </w:num>
  <w:num w:numId="26">
    <w:abstractNumId w:val="22"/>
  </w:num>
  <w:num w:numId="27">
    <w:abstractNumId w:val="20"/>
  </w:num>
  <w:num w:numId="28">
    <w:abstractNumId w:val="34"/>
  </w:num>
  <w:num w:numId="29">
    <w:abstractNumId w:val="5"/>
  </w:num>
  <w:num w:numId="30">
    <w:abstractNumId w:val="21"/>
  </w:num>
  <w:num w:numId="31">
    <w:abstractNumId w:val="36"/>
  </w:num>
  <w:num w:numId="32">
    <w:abstractNumId w:val="19"/>
  </w:num>
  <w:num w:numId="33">
    <w:abstractNumId w:val="18"/>
  </w:num>
  <w:num w:numId="34">
    <w:abstractNumId w:val="0"/>
  </w:num>
  <w:num w:numId="35">
    <w:abstractNumId w:val="4"/>
  </w:num>
  <w:num w:numId="36">
    <w:abstractNumId w:val="13"/>
  </w:num>
  <w:num w:numId="37">
    <w:abstractNumId w:val="24"/>
  </w:num>
  <w:num w:numId="38">
    <w:abstractNumId w:val="15"/>
  </w:num>
  <w:num w:numId="39">
    <w:abstractNumId w:val="33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Calibri"/>
        <w:lang w:val="ru-RU" w:eastAsia="ru-RU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827" w:default="1">
    <w:name w:val="Normal"/>
    <w:qFormat/>
    <w:pPr>
      <w:spacing w:after="200" w:line="276" w:lineRule="auto"/>
    </w:pPr>
    <w:rPr>
      <w:sz w:val="22"/>
      <w:szCs w:val="22"/>
    </w:rPr>
  </w:style>
  <w:style w:type="paragraph" w:styleId="828">
    <w:name w:val="Heading 1"/>
    <w:basedOn w:val="827"/>
    <w:next w:val="827"/>
    <w:link w:val="853"/>
    <w:qFormat/>
    <w:pPr>
      <w:keepLines/>
      <w:keepNext/>
      <w:spacing w:before="480" w:after="120"/>
      <w:outlineLvl w:val="0"/>
    </w:pPr>
    <w:rPr>
      <w:b/>
      <w:sz w:val="48"/>
      <w:szCs w:val="48"/>
    </w:rPr>
  </w:style>
  <w:style w:type="paragraph" w:styleId="829">
    <w:name w:val="Heading 2"/>
    <w:basedOn w:val="827"/>
    <w:next w:val="827"/>
    <w:link w:val="854"/>
    <w:qFormat/>
    <w:pPr>
      <w:keepLines/>
      <w:keepNext/>
      <w:spacing w:before="360" w:after="80"/>
      <w:outlineLvl w:val="1"/>
    </w:pPr>
    <w:rPr>
      <w:b/>
      <w:sz w:val="36"/>
      <w:szCs w:val="36"/>
    </w:rPr>
  </w:style>
  <w:style w:type="paragraph" w:styleId="830">
    <w:name w:val="Heading 3"/>
    <w:basedOn w:val="827"/>
    <w:next w:val="827"/>
    <w:link w:val="855"/>
    <w:qFormat/>
    <w:pPr>
      <w:keepLines/>
      <w:keepNext/>
      <w:spacing w:before="280" w:after="80"/>
      <w:outlineLvl w:val="2"/>
    </w:pPr>
    <w:rPr>
      <w:b/>
      <w:sz w:val="28"/>
      <w:szCs w:val="28"/>
    </w:rPr>
  </w:style>
  <w:style w:type="paragraph" w:styleId="831">
    <w:name w:val="Heading 4"/>
    <w:basedOn w:val="827"/>
    <w:next w:val="827"/>
    <w:link w:val="856"/>
    <w:qFormat/>
    <w:pPr>
      <w:keepLines/>
      <w:keepNext/>
      <w:spacing w:before="240" w:after="40"/>
      <w:outlineLvl w:val="3"/>
    </w:pPr>
    <w:rPr>
      <w:b/>
      <w:sz w:val="24"/>
      <w:szCs w:val="24"/>
    </w:rPr>
  </w:style>
  <w:style w:type="paragraph" w:styleId="832">
    <w:name w:val="Heading 5"/>
    <w:basedOn w:val="827"/>
    <w:next w:val="827"/>
    <w:link w:val="857"/>
    <w:qFormat/>
    <w:pPr>
      <w:keepLines/>
      <w:keepNext/>
      <w:spacing w:before="220" w:after="40"/>
      <w:outlineLvl w:val="4"/>
    </w:pPr>
    <w:rPr>
      <w:b/>
    </w:rPr>
  </w:style>
  <w:style w:type="paragraph" w:styleId="833">
    <w:name w:val="Heading 6"/>
    <w:basedOn w:val="827"/>
    <w:next w:val="827"/>
    <w:link w:val="858"/>
    <w:qFormat/>
    <w:pPr>
      <w:keepLines/>
      <w:keepNext/>
      <w:spacing w:before="200" w:after="40"/>
      <w:outlineLvl w:val="5"/>
    </w:pPr>
    <w:rPr>
      <w:b/>
      <w:sz w:val="20"/>
      <w:szCs w:val="20"/>
    </w:rPr>
  </w:style>
  <w:style w:type="paragraph" w:styleId="834">
    <w:name w:val="Heading 7"/>
    <w:basedOn w:val="827"/>
    <w:next w:val="827"/>
    <w:link w:val="859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835">
    <w:name w:val="Heading 8"/>
    <w:basedOn w:val="827"/>
    <w:next w:val="827"/>
    <w:link w:val="860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836">
    <w:name w:val="Heading 9"/>
    <w:basedOn w:val="827"/>
    <w:next w:val="827"/>
    <w:link w:val="861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37" w:default="1">
    <w:name w:val="Default Paragraph Font"/>
    <w:uiPriority w:val="1"/>
    <w:semiHidden/>
    <w:unhideWhenUsed/>
  </w:style>
  <w:style w:type="table" w:styleId="83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9" w:default="1">
    <w:name w:val="No List"/>
    <w:uiPriority w:val="99"/>
    <w:semiHidden/>
    <w:unhideWhenUsed/>
  </w:style>
  <w:style w:type="character" w:styleId="840" w:customStyle="1">
    <w:name w:val="Heading 1 Char"/>
    <w:basedOn w:val="837"/>
    <w:uiPriority w:val="9"/>
    <w:rPr>
      <w:rFonts w:ascii="Arial" w:hAnsi="Arial" w:eastAsia="Arial" w:cs="Arial"/>
      <w:sz w:val="40"/>
      <w:szCs w:val="40"/>
    </w:rPr>
  </w:style>
  <w:style w:type="character" w:styleId="841" w:customStyle="1">
    <w:name w:val="Heading 2 Char"/>
    <w:basedOn w:val="837"/>
    <w:uiPriority w:val="9"/>
    <w:rPr>
      <w:rFonts w:ascii="Arial" w:hAnsi="Arial" w:eastAsia="Arial" w:cs="Arial"/>
      <w:sz w:val="34"/>
    </w:rPr>
  </w:style>
  <w:style w:type="character" w:styleId="842" w:customStyle="1">
    <w:name w:val="Heading 3 Char"/>
    <w:basedOn w:val="837"/>
    <w:uiPriority w:val="9"/>
    <w:rPr>
      <w:rFonts w:ascii="Arial" w:hAnsi="Arial" w:eastAsia="Arial" w:cs="Arial"/>
      <w:sz w:val="30"/>
      <w:szCs w:val="30"/>
    </w:rPr>
  </w:style>
  <w:style w:type="character" w:styleId="843" w:customStyle="1">
    <w:name w:val="Heading 4 Char"/>
    <w:basedOn w:val="837"/>
    <w:uiPriority w:val="9"/>
    <w:rPr>
      <w:rFonts w:ascii="Arial" w:hAnsi="Arial" w:eastAsia="Arial" w:cs="Arial"/>
      <w:b/>
      <w:bCs/>
      <w:sz w:val="26"/>
      <w:szCs w:val="26"/>
    </w:rPr>
  </w:style>
  <w:style w:type="character" w:styleId="844" w:customStyle="1">
    <w:name w:val="Heading 5 Char"/>
    <w:basedOn w:val="837"/>
    <w:uiPriority w:val="9"/>
    <w:rPr>
      <w:rFonts w:ascii="Arial" w:hAnsi="Arial" w:eastAsia="Arial" w:cs="Arial"/>
      <w:b/>
      <w:bCs/>
      <w:sz w:val="24"/>
      <w:szCs w:val="24"/>
    </w:rPr>
  </w:style>
  <w:style w:type="character" w:styleId="845" w:customStyle="1">
    <w:name w:val="Heading 6 Char"/>
    <w:basedOn w:val="837"/>
    <w:uiPriority w:val="9"/>
    <w:rPr>
      <w:rFonts w:ascii="Arial" w:hAnsi="Arial" w:eastAsia="Arial" w:cs="Arial"/>
      <w:b/>
      <w:bCs/>
      <w:sz w:val="22"/>
      <w:szCs w:val="22"/>
    </w:rPr>
  </w:style>
  <w:style w:type="character" w:styleId="846" w:customStyle="1">
    <w:name w:val="Heading 7 Char"/>
    <w:basedOn w:val="83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47" w:customStyle="1">
    <w:name w:val="Heading 8 Char"/>
    <w:basedOn w:val="837"/>
    <w:uiPriority w:val="9"/>
    <w:rPr>
      <w:rFonts w:ascii="Arial" w:hAnsi="Arial" w:eastAsia="Arial" w:cs="Arial"/>
      <w:i/>
      <w:iCs/>
      <w:sz w:val="22"/>
      <w:szCs w:val="22"/>
    </w:rPr>
  </w:style>
  <w:style w:type="character" w:styleId="848" w:customStyle="1">
    <w:name w:val="Heading 9 Char"/>
    <w:basedOn w:val="837"/>
    <w:uiPriority w:val="9"/>
    <w:rPr>
      <w:rFonts w:ascii="Arial" w:hAnsi="Arial" w:eastAsia="Arial" w:cs="Arial"/>
      <w:i/>
      <w:iCs/>
      <w:sz w:val="21"/>
      <w:szCs w:val="21"/>
    </w:rPr>
  </w:style>
  <w:style w:type="character" w:styleId="849" w:customStyle="1">
    <w:name w:val="Title Char"/>
    <w:basedOn w:val="837"/>
    <w:uiPriority w:val="10"/>
    <w:rPr>
      <w:sz w:val="48"/>
      <w:szCs w:val="48"/>
    </w:rPr>
  </w:style>
  <w:style w:type="character" w:styleId="850" w:customStyle="1">
    <w:name w:val="Subtitle Char"/>
    <w:basedOn w:val="837"/>
    <w:uiPriority w:val="11"/>
    <w:rPr>
      <w:sz w:val="24"/>
      <w:szCs w:val="24"/>
    </w:rPr>
  </w:style>
  <w:style w:type="character" w:styleId="851" w:customStyle="1">
    <w:name w:val="Quote Char"/>
    <w:uiPriority w:val="29"/>
    <w:rPr>
      <w:i/>
    </w:rPr>
  </w:style>
  <w:style w:type="character" w:styleId="852" w:customStyle="1">
    <w:name w:val="Intense Quote Char"/>
    <w:uiPriority w:val="30"/>
    <w:rPr>
      <w:i/>
    </w:rPr>
  </w:style>
  <w:style w:type="character" w:styleId="853" w:customStyle="1">
    <w:name w:val="Заголовок 1 Знак"/>
    <w:basedOn w:val="837"/>
    <w:link w:val="828"/>
    <w:rPr>
      <w:rFonts w:ascii="Arial" w:hAnsi="Arial" w:eastAsia="Arial" w:cs="Arial"/>
      <w:sz w:val="40"/>
      <w:szCs w:val="40"/>
    </w:rPr>
  </w:style>
  <w:style w:type="character" w:styleId="854" w:customStyle="1">
    <w:name w:val="Заголовок 2 Знак"/>
    <w:basedOn w:val="837"/>
    <w:link w:val="829"/>
    <w:uiPriority w:val="9"/>
    <w:rPr>
      <w:rFonts w:ascii="Arial" w:hAnsi="Arial" w:eastAsia="Arial" w:cs="Arial"/>
      <w:sz w:val="34"/>
    </w:rPr>
  </w:style>
  <w:style w:type="character" w:styleId="855" w:customStyle="1">
    <w:name w:val="Заголовок 3 Знак"/>
    <w:basedOn w:val="837"/>
    <w:link w:val="830"/>
    <w:uiPriority w:val="9"/>
    <w:rPr>
      <w:rFonts w:ascii="Arial" w:hAnsi="Arial" w:eastAsia="Arial" w:cs="Arial"/>
      <w:sz w:val="30"/>
      <w:szCs w:val="30"/>
    </w:rPr>
  </w:style>
  <w:style w:type="character" w:styleId="856" w:customStyle="1">
    <w:name w:val="Заголовок 4 Знак"/>
    <w:basedOn w:val="837"/>
    <w:link w:val="831"/>
    <w:uiPriority w:val="9"/>
    <w:rPr>
      <w:rFonts w:ascii="Arial" w:hAnsi="Arial" w:eastAsia="Arial" w:cs="Arial"/>
      <w:b/>
      <w:bCs/>
      <w:sz w:val="26"/>
      <w:szCs w:val="26"/>
    </w:rPr>
  </w:style>
  <w:style w:type="character" w:styleId="857" w:customStyle="1">
    <w:name w:val="Заголовок 5 Знак"/>
    <w:basedOn w:val="837"/>
    <w:link w:val="832"/>
    <w:uiPriority w:val="9"/>
    <w:rPr>
      <w:rFonts w:ascii="Arial" w:hAnsi="Arial" w:eastAsia="Arial" w:cs="Arial"/>
      <w:b/>
      <w:bCs/>
      <w:sz w:val="24"/>
      <w:szCs w:val="24"/>
    </w:rPr>
  </w:style>
  <w:style w:type="character" w:styleId="858" w:customStyle="1">
    <w:name w:val="Заголовок 6 Знак"/>
    <w:basedOn w:val="837"/>
    <w:link w:val="833"/>
    <w:uiPriority w:val="9"/>
    <w:rPr>
      <w:rFonts w:ascii="Arial" w:hAnsi="Arial" w:eastAsia="Arial" w:cs="Arial"/>
      <w:b/>
      <w:bCs/>
      <w:sz w:val="22"/>
      <w:szCs w:val="22"/>
    </w:rPr>
  </w:style>
  <w:style w:type="character" w:styleId="859" w:customStyle="1">
    <w:name w:val="Заголовок 7 Знак"/>
    <w:basedOn w:val="837"/>
    <w:link w:val="83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60" w:customStyle="1">
    <w:name w:val="Заголовок 8 Знак"/>
    <w:basedOn w:val="837"/>
    <w:link w:val="835"/>
    <w:uiPriority w:val="9"/>
    <w:rPr>
      <w:rFonts w:ascii="Arial" w:hAnsi="Arial" w:eastAsia="Arial" w:cs="Arial"/>
      <w:i/>
      <w:iCs/>
      <w:sz w:val="22"/>
      <w:szCs w:val="22"/>
    </w:rPr>
  </w:style>
  <w:style w:type="character" w:styleId="861" w:customStyle="1">
    <w:name w:val="Заголовок 9 Знак"/>
    <w:basedOn w:val="837"/>
    <w:link w:val="836"/>
    <w:uiPriority w:val="9"/>
    <w:rPr>
      <w:rFonts w:ascii="Arial" w:hAnsi="Arial" w:eastAsia="Arial" w:cs="Arial"/>
      <w:i/>
      <w:iCs/>
      <w:sz w:val="21"/>
      <w:szCs w:val="21"/>
    </w:rPr>
  </w:style>
  <w:style w:type="paragraph" w:styleId="862">
    <w:name w:val="No Spacing"/>
    <w:uiPriority w:val="1"/>
    <w:qFormat/>
    <w:pPr>
      <w:spacing w:after="0" w:line="240" w:lineRule="auto"/>
    </w:pPr>
  </w:style>
  <w:style w:type="character" w:styleId="863" w:customStyle="1">
    <w:name w:val="Заголовок Знак"/>
    <w:basedOn w:val="837"/>
    <w:link w:val="1019"/>
    <w:uiPriority w:val="10"/>
    <w:rPr>
      <w:sz w:val="48"/>
      <w:szCs w:val="48"/>
    </w:rPr>
  </w:style>
  <w:style w:type="character" w:styleId="864" w:customStyle="1">
    <w:name w:val="Подзаголовок Знак"/>
    <w:basedOn w:val="837"/>
    <w:link w:val="1018"/>
    <w:uiPriority w:val="11"/>
    <w:rPr>
      <w:sz w:val="24"/>
      <w:szCs w:val="24"/>
    </w:rPr>
  </w:style>
  <w:style w:type="paragraph" w:styleId="865">
    <w:name w:val="Quote"/>
    <w:basedOn w:val="827"/>
    <w:next w:val="827"/>
    <w:link w:val="866"/>
    <w:uiPriority w:val="29"/>
    <w:qFormat/>
    <w:pPr>
      <w:ind w:left="720" w:right="720"/>
    </w:pPr>
    <w:rPr>
      <w:i/>
    </w:rPr>
  </w:style>
  <w:style w:type="character" w:styleId="866" w:customStyle="1">
    <w:name w:val="Цитата 2 Знак"/>
    <w:link w:val="865"/>
    <w:uiPriority w:val="29"/>
    <w:rPr>
      <w:i/>
    </w:rPr>
  </w:style>
  <w:style w:type="paragraph" w:styleId="867">
    <w:name w:val="Intense Quote"/>
    <w:basedOn w:val="827"/>
    <w:next w:val="827"/>
    <w:link w:val="868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68" w:customStyle="1">
    <w:name w:val="Выделенная цитата Знак"/>
    <w:link w:val="867"/>
    <w:uiPriority w:val="30"/>
    <w:rPr>
      <w:i/>
    </w:rPr>
  </w:style>
  <w:style w:type="character" w:styleId="869" w:customStyle="1">
    <w:name w:val="Header Char"/>
    <w:basedOn w:val="837"/>
    <w:uiPriority w:val="99"/>
  </w:style>
  <w:style w:type="character" w:styleId="870" w:customStyle="1">
    <w:name w:val="Footer Char"/>
    <w:basedOn w:val="837"/>
    <w:uiPriority w:val="99"/>
  </w:style>
  <w:style w:type="paragraph" w:styleId="871">
    <w:name w:val="Caption"/>
    <w:basedOn w:val="827"/>
    <w:next w:val="827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872" w:customStyle="1">
    <w:name w:val="Caption Char"/>
    <w:uiPriority w:val="99"/>
  </w:style>
  <w:style w:type="table" w:styleId="873" w:customStyle="1">
    <w:name w:val="Table Grid Light"/>
    <w:basedOn w:val="838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874">
    <w:name w:val="Plain Table 1"/>
    <w:basedOn w:val="838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75">
    <w:name w:val="Plain Table 2"/>
    <w:basedOn w:val="838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76">
    <w:name w:val="Plain Table 3"/>
    <w:basedOn w:val="83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77">
    <w:name w:val="Plain Table 4"/>
    <w:basedOn w:val="83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Plain Table 5"/>
    <w:basedOn w:val="83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79">
    <w:name w:val="Grid Table 1 Light"/>
    <w:basedOn w:val="8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 w:customStyle="1">
    <w:name w:val="Grid Table 1 Light - Accent 1"/>
    <w:basedOn w:val="8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 w:customStyle="1">
    <w:name w:val="Grid Table 1 Light - Accent 2"/>
    <w:basedOn w:val="8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 w:customStyle="1">
    <w:name w:val="Grid Table 1 Light - Accent 3"/>
    <w:basedOn w:val="8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 w:customStyle="1">
    <w:name w:val="Grid Table 1 Light - Accent 4"/>
    <w:basedOn w:val="8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 w:customStyle="1">
    <w:name w:val="Grid Table 1 Light - Accent 5"/>
    <w:basedOn w:val="8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 w:customStyle="1">
    <w:name w:val="Grid Table 1 Light - Accent 6"/>
    <w:basedOn w:val="8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Grid Table 2"/>
    <w:basedOn w:val="83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7" w:customStyle="1">
    <w:name w:val="Grid Table 2 - Accent 1"/>
    <w:basedOn w:val="83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8" w:customStyle="1">
    <w:name w:val="Grid Table 2 - Accent 2"/>
    <w:basedOn w:val="83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9" w:customStyle="1">
    <w:name w:val="Grid Table 2 - Accent 3"/>
    <w:basedOn w:val="83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0" w:customStyle="1">
    <w:name w:val="Grid Table 2 - Accent 4"/>
    <w:basedOn w:val="83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1" w:customStyle="1">
    <w:name w:val="Grid Table 2 - Accent 5"/>
    <w:basedOn w:val="83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2" w:customStyle="1">
    <w:name w:val="Grid Table 2 - Accent 6"/>
    <w:basedOn w:val="83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3">
    <w:name w:val="Grid Table 3"/>
    <w:basedOn w:val="83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4" w:customStyle="1">
    <w:name w:val="Grid Table 3 - Accent 1"/>
    <w:basedOn w:val="83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5" w:customStyle="1">
    <w:name w:val="Grid Table 3 - Accent 2"/>
    <w:basedOn w:val="83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6" w:customStyle="1">
    <w:name w:val="Grid Table 3 - Accent 3"/>
    <w:basedOn w:val="83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7" w:customStyle="1">
    <w:name w:val="Grid Table 3 - Accent 4"/>
    <w:basedOn w:val="83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8" w:customStyle="1">
    <w:name w:val="Grid Table 3 - Accent 5"/>
    <w:basedOn w:val="83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9" w:customStyle="1">
    <w:name w:val="Grid Table 3 - Accent 6"/>
    <w:basedOn w:val="83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0">
    <w:name w:val="Grid Table 4"/>
    <w:basedOn w:val="838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901" w:customStyle="1">
    <w:name w:val="Grid Table 4 - Accent 1"/>
    <w:basedOn w:val="838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902" w:customStyle="1">
    <w:name w:val="Grid Table 4 - Accent 2"/>
    <w:basedOn w:val="838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903" w:customStyle="1">
    <w:name w:val="Grid Table 4 - Accent 3"/>
    <w:basedOn w:val="838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904" w:customStyle="1">
    <w:name w:val="Grid Table 4 - Accent 4"/>
    <w:basedOn w:val="838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905" w:customStyle="1">
    <w:name w:val="Grid Table 4 - Accent 5"/>
    <w:basedOn w:val="838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906" w:customStyle="1">
    <w:name w:val="Grid Table 4 - Accent 6"/>
    <w:basedOn w:val="838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907">
    <w:name w:val="Grid Table 5 Dark"/>
    <w:basedOn w:val="8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908" w:customStyle="1">
    <w:name w:val="Grid Table 5 Dark- Accent 1"/>
    <w:basedOn w:val="8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909" w:customStyle="1">
    <w:name w:val="Grid Table 5 Dark - Accent 2"/>
    <w:basedOn w:val="8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910" w:customStyle="1">
    <w:name w:val="Grid Table 5 Dark - Accent 3"/>
    <w:basedOn w:val="8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911" w:customStyle="1">
    <w:name w:val="Grid Table 5 Dark- Accent 4"/>
    <w:basedOn w:val="8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912" w:customStyle="1">
    <w:name w:val="Grid Table 5 Dark - Accent 5"/>
    <w:basedOn w:val="8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913" w:customStyle="1">
    <w:name w:val="Grid Table 5 Dark - Accent 6"/>
    <w:basedOn w:val="8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914">
    <w:name w:val="Grid Table 6 Colorful"/>
    <w:basedOn w:val="8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915" w:customStyle="1">
    <w:name w:val="Grid Table 6 Colorful - Accent 1"/>
    <w:basedOn w:val="8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916" w:customStyle="1">
    <w:name w:val="Grid Table 6 Colorful - Accent 2"/>
    <w:basedOn w:val="8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917" w:customStyle="1">
    <w:name w:val="Grid Table 6 Colorful - Accent 3"/>
    <w:basedOn w:val="8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918" w:customStyle="1">
    <w:name w:val="Grid Table 6 Colorful - Accent 4"/>
    <w:basedOn w:val="8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919" w:customStyle="1">
    <w:name w:val="Grid Table 6 Colorful - Accent 5"/>
    <w:basedOn w:val="8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920" w:customStyle="1">
    <w:name w:val="Grid Table 6 Colorful - Accent 6"/>
    <w:basedOn w:val="8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921">
    <w:name w:val="Grid Table 7 Colorful"/>
    <w:basedOn w:val="83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22" w:customStyle="1">
    <w:name w:val="Grid Table 7 Colorful - Accent 1"/>
    <w:basedOn w:val="83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23" w:customStyle="1">
    <w:name w:val="Grid Table 7 Colorful - Accent 2"/>
    <w:basedOn w:val="83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24" w:customStyle="1">
    <w:name w:val="Grid Table 7 Colorful - Accent 3"/>
    <w:basedOn w:val="83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25" w:customStyle="1">
    <w:name w:val="Grid Table 7 Colorful - Accent 4"/>
    <w:basedOn w:val="83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26" w:customStyle="1">
    <w:name w:val="Grid Table 7 Colorful - Accent 5"/>
    <w:basedOn w:val="83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27" w:customStyle="1">
    <w:name w:val="Grid Table 7 Colorful - Accent 6"/>
    <w:basedOn w:val="83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28">
    <w:name w:val="List Table 1 Light"/>
    <w:basedOn w:val="83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9" w:customStyle="1">
    <w:name w:val="List Table 1 Light - Accent 1"/>
    <w:basedOn w:val="83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0" w:customStyle="1">
    <w:name w:val="List Table 1 Light - Accent 2"/>
    <w:basedOn w:val="83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1" w:customStyle="1">
    <w:name w:val="List Table 1 Light - Accent 3"/>
    <w:basedOn w:val="83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2" w:customStyle="1">
    <w:name w:val="List Table 1 Light - Accent 4"/>
    <w:basedOn w:val="83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3" w:customStyle="1">
    <w:name w:val="List Table 1 Light - Accent 5"/>
    <w:basedOn w:val="83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4" w:customStyle="1">
    <w:name w:val="List Table 1 Light - Accent 6"/>
    <w:basedOn w:val="83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5">
    <w:name w:val="List Table 2"/>
    <w:basedOn w:val="8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936" w:customStyle="1">
    <w:name w:val="List Table 2 - Accent 1"/>
    <w:basedOn w:val="8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937" w:customStyle="1">
    <w:name w:val="List Table 2 - Accent 2"/>
    <w:basedOn w:val="8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938" w:customStyle="1">
    <w:name w:val="List Table 2 - Accent 3"/>
    <w:basedOn w:val="8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939" w:customStyle="1">
    <w:name w:val="List Table 2 - Accent 4"/>
    <w:basedOn w:val="8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940" w:customStyle="1">
    <w:name w:val="List Table 2 - Accent 5"/>
    <w:basedOn w:val="8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941" w:customStyle="1">
    <w:name w:val="List Table 2 - Accent 6"/>
    <w:basedOn w:val="8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942">
    <w:name w:val="List Table 3"/>
    <w:basedOn w:val="8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3" w:customStyle="1">
    <w:name w:val="List Table 3 - Accent 1"/>
    <w:basedOn w:val="8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4" w:customStyle="1">
    <w:name w:val="List Table 3 - Accent 2"/>
    <w:basedOn w:val="8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5" w:customStyle="1">
    <w:name w:val="List Table 3 - Accent 3"/>
    <w:basedOn w:val="8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6" w:customStyle="1">
    <w:name w:val="List Table 3 - Accent 4"/>
    <w:basedOn w:val="8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7" w:customStyle="1">
    <w:name w:val="List Table 3 - Accent 5"/>
    <w:basedOn w:val="8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8" w:customStyle="1">
    <w:name w:val="List Table 3 - Accent 6"/>
    <w:basedOn w:val="838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9">
    <w:name w:val="List Table 4"/>
    <w:basedOn w:val="8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0" w:customStyle="1">
    <w:name w:val="List Table 4 - Accent 1"/>
    <w:basedOn w:val="8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1" w:customStyle="1">
    <w:name w:val="List Table 4 - Accent 2"/>
    <w:basedOn w:val="8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2" w:customStyle="1">
    <w:name w:val="List Table 4 - Accent 3"/>
    <w:basedOn w:val="8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3" w:customStyle="1">
    <w:name w:val="List Table 4 - Accent 4"/>
    <w:basedOn w:val="8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4" w:customStyle="1">
    <w:name w:val="List Table 4 - Accent 5"/>
    <w:basedOn w:val="8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5" w:customStyle="1">
    <w:name w:val="List Table 4 - Accent 6"/>
    <w:basedOn w:val="8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6">
    <w:name w:val="List Table 5 Dark"/>
    <w:basedOn w:val="8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57" w:customStyle="1">
    <w:name w:val="List Table 5 Dark - Accent 1"/>
    <w:basedOn w:val="8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58" w:customStyle="1">
    <w:name w:val="List Table 5 Dark - Accent 2"/>
    <w:basedOn w:val="8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59" w:customStyle="1">
    <w:name w:val="List Table 5 Dark - Accent 3"/>
    <w:basedOn w:val="8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60" w:customStyle="1">
    <w:name w:val="List Table 5 Dark - Accent 4"/>
    <w:basedOn w:val="8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61" w:customStyle="1">
    <w:name w:val="List Table 5 Dark - Accent 5"/>
    <w:basedOn w:val="8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62" w:customStyle="1">
    <w:name w:val="List Table 5 Dark - Accent 6"/>
    <w:basedOn w:val="8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63">
    <w:name w:val="List Table 6 Colorful"/>
    <w:basedOn w:val="8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64" w:customStyle="1">
    <w:name w:val="List Table 6 Colorful - Accent 1"/>
    <w:basedOn w:val="8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965" w:customStyle="1">
    <w:name w:val="List Table 6 Colorful - Accent 2"/>
    <w:basedOn w:val="8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966" w:customStyle="1">
    <w:name w:val="List Table 6 Colorful - Accent 3"/>
    <w:basedOn w:val="8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967" w:customStyle="1">
    <w:name w:val="List Table 6 Colorful - Accent 4"/>
    <w:basedOn w:val="8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968" w:customStyle="1">
    <w:name w:val="List Table 6 Colorful - Accent 5"/>
    <w:basedOn w:val="8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969" w:customStyle="1">
    <w:name w:val="List Table 6 Colorful - Accent 6"/>
    <w:basedOn w:val="8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970">
    <w:name w:val="List Table 7 Colorful"/>
    <w:basedOn w:val="83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71" w:customStyle="1">
    <w:name w:val="List Table 7 Colorful - Accent 1"/>
    <w:basedOn w:val="83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72" w:customStyle="1">
    <w:name w:val="List Table 7 Colorful - Accent 2"/>
    <w:basedOn w:val="83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73" w:customStyle="1">
    <w:name w:val="List Table 7 Colorful - Accent 3"/>
    <w:basedOn w:val="83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74" w:customStyle="1">
    <w:name w:val="List Table 7 Colorful - Accent 4"/>
    <w:basedOn w:val="83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75" w:customStyle="1">
    <w:name w:val="List Table 7 Colorful - Accent 5"/>
    <w:basedOn w:val="83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76" w:customStyle="1">
    <w:name w:val="List Table 7 Colorful - Accent 6"/>
    <w:basedOn w:val="83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77" w:customStyle="1">
    <w:name w:val="Lined - Accent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78" w:customStyle="1">
    <w:name w:val="Lined - Accent 1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79" w:customStyle="1">
    <w:name w:val="Lined - Accent 2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80" w:customStyle="1">
    <w:name w:val="Lined - Accent 3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81" w:customStyle="1">
    <w:name w:val="Lined - Accent 4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82" w:customStyle="1">
    <w:name w:val="Lined - Accent 5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83" w:customStyle="1">
    <w:name w:val="Lined - Accent 6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84" w:customStyle="1">
    <w:name w:val="Bordered &amp; Lined - Accent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85" w:customStyle="1">
    <w:name w:val="Bordered &amp; Lined - Accent 1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986" w:customStyle="1">
    <w:name w:val="Bordered &amp; Lined - Accent 2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987" w:customStyle="1">
    <w:name w:val="Bordered &amp; Lined - Accent 3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988" w:customStyle="1">
    <w:name w:val="Bordered &amp; Lined - Accent 4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989" w:customStyle="1">
    <w:name w:val="Bordered &amp; Lined - Accent 5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990" w:customStyle="1">
    <w:name w:val="Bordered &amp; Lined - Accent 6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991" w:customStyle="1">
    <w:name w:val="Bordered"/>
    <w:basedOn w:val="8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92" w:customStyle="1">
    <w:name w:val="Bordered - Accent 1"/>
    <w:basedOn w:val="8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93" w:customStyle="1">
    <w:name w:val="Bordered - Accent 2"/>
    <w:basedOn w:val="8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994" w:customStyle="1">
    <w:name w:val="Bordered - Accent 3"/>
    <w:basedOn w:val="8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995" w:customStyle="1">
    <w:name w:val="Bordered - Accent 4"/>
    <w:basedOn w:val="8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996" w:customStyle="1">
    <w:name w:val="Bordered - Accent 5"/>
    <w:basedOn w:val="8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997" w:customStyle="1">
    <w:name w:val="Bordered - Accent 6"/>
    <w:basedOn w:val="83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998">
    <w:name w:val="Hyperlink"/>
    <w:uiPriority w:val="99"/>
    <w:unhideWhenUsed/>
    <w:rPr>
      <w:color w:val="0000ff" w:themeColor="hyperlink"/>
      <w:u w:val="single"/>
    </w:rPr>
  </w:style>
  <w:style w:type="character" w:styleId="999" w:customStyle="1">
    <w:name w:val="Footnote Text Char"/>
    <w:uiPriority w:val="99"/>
    <w:rPr>
      <w:sz w:val="18"/>
    </w:rPr>
  </w:style>
  <w:style w:type="character" w:styleId="1000" w:customStyle="1">
    <w:name w:val="Endnote Text Char"/>
    <w:uiPriority w:val="99"/>
    <w:rPr>
      <w:sz w:val="20"/>
    </w:rPr>
  </w:style>
  <w:style w:type="paragraph" w:styleId="1001">
    <w:name w:val="toc 1"/>
    <w:basedOn w:val="827"/>
    <w:next w:val="827"/>
    <w:uiPriority w:val="39"/>
    <w:unhideWhenUsed/>
    <w:pPr>
      <w:spacing w:after="57"/>
    </w:pPr>
  </w:style>
  <w:style w:type="paragraph" w:styleId="1002">
    <w:name w:val="toc 2"/>
    <w:basedOn w:val="827"/>
    <w:next w:val="827"/>
    <w:uiPriority w:val="39"/>
    <w:unhideWhenUsed/>
    <w:pPr>
      <w:ind w:left="283"/>
      <w:spacing w:after="57"/>
    </w:pPr>
  </w:style>
  <w:style w:type="paragraph" w:styleId="1003">
    <w:name w:val="toc 3"/>
    <w:basedOn w:val="827"/>
    <w:next w:val="827"/>
    <w:uiPriority w:val="39"/>
    <w:unhideWhenUsed/>
    <w:pPr>
      <w:ind w:left="567"/>
      <w:spacing w:after="57"/>
    </w:pPr>
  </w:style>
  <w:style w:type="paragraph" w:styleId="1004">
    <w:name w:val="toc 4"/>
    <w:basedOn w:val="827"/>
    <w:next w:val="827"/>
    <w:uiPriority w:val="39"/>
    <w:unhideWhenUsed/>
    <w:pPr>
      <w:ind w:left="850"/>
      <w:spacing w:after="57"/>
    </w:pPr>
  </w:style>
  <w:style w:type="paragraph" w:styleId="1005">
    <w:name w:val="toc 5"/>
    <w:basedOn w:val="827"/>
    <w:next w:val="827"/>
    <w:uiPriority w:val="39"/>
    <w:unhideWhenUsed/>
    <w:pPr>
      <w:ind w:left="1134"/>
      <w:spacing w:after="57"/>
    </w:pPr>
  </w:style>
  <w:style w:type="paragraph" w:styleId="1006">
    <w:name w:val="toc 6"/>
    <w:basedOn w:val="827"/>
    <w:next w:val="827"/>
    <w:uiPriority w:val="39"/>
    <w:unhideWhenUsed/>
    <w:pPr>
      <w:ind w:left="1417"/>
      <w:spacing w:after="57"/>
    </w:pPr>
  </w:style>
  <w:style w:type="paragraph" w:styleId="1007">
    <w:name w:val="toc 7"/>
    <w:basedOn w:val="827"/>
    <w:next w:val="827"/>
    <w:uiPriority w:val="39"/>
    <w:unhideWhenUsed/>
    <w:pPr>
      <w:ind w:left="1701"/>
      <w:spacing w:after="57"/>
    </w:pPr>
  </w:style>
  <w:style w:type="paragraph" w:styleId="1008">
    <w:name w:val="toc 8"/>
    <w:basedOn w:val="827"/>
    <w:next w:val="827"/>
    <w:uiPriority w:val="39"/>
    <w:unhideWhenUsed/>
    <w:pPr>
      <w:ind w:left="1984"/>
      <w:spacing w:after="57"/>
    </w:pPr>
  </w:style>
  <w:style w:type="paragraph" w:styleId="1009">
    <w:name w:val="toc 9"/>
    <w:basedOn w:val="827"/>
    <w:next w:val="827"/>
    <w:uiPriority w:val="39"/>
    <w:unhideWhenUsed/>
    <w:pPr>
      <w:ind w:left="2268"/>
      <w:spacing w:after="57"/>
    </w:pPr>
  </w:style>
  <w:style w:type="paragraph" w:styleId="1010">
    <w:name w:val="TOC Heading"/>
    <w:uiPriority w:val="39"/>
    <w:unhideWhenUsed/>
  </w:style>
  <w:style w:type="paragraph" w:styleId="1011">
    <w:name w:val="table of figures"/>
    <w:basedOn w:val="827"/>
    <w:next w:val="827"/>
    <w:uiPriority w:val="99"/>
    <w:unhideWhenUsed/>
    <w:pPr>
      <w:spacing w:after="0"/>
    </w:pPr>
  </w:style>
  <w:style w:type="paragraph" w:styleId="1012">
    <w:name w:val="Balloon Text"/>
    <w:basedOn w:val="827"/>
    <w:link w:val="1026"/>
    <w:uiPriority w:val="99"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1013">
    <w:name w:val="annotation text"/>
    <w:basedOn w:val="827"/>
    <w:link w:val="1025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1014">
    <w:name w:val="annotation subject"/>
    <w:basedOn w:val="1013"/>
    <w:next w:val="1013"/>
    <w:link w:val="1027"/>
    <w:uiPriority w:val="99"/>
    <w:unhideWhenUsed/>
    <w:qFormat/>
    <w:rPr>
      <w:b/>
      <w:bCs/>
    </w:rPr>
  </w:style>
  <w:style w:type="paragraph" w:styleId="1015">
    <w:name w:val="endnote text"/>
    <w:basedOn w:val="827"/>
    <w:link w:val="1030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1016">
    <w:name w:val="footnote text"/>
    <w:basedOn w:val="827"/>
    <w:link w:val="1029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1017">
    <w:name w:val="Normal (Web)"/>
    <w:basedOn w:val="827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1018">
    <w:name w:val="Subtitle"/>
    <w:basedOn w:val="827"/>
    <w:next w:val="827"/>
    <w:link w:val="864"/>
    <w:qFormat/>
    <w:pPr>
      <w:keepLines/>
      <w:keepNext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1019">
    <w:name w:val="Title"/>
    <w:basedOn w:val="827"/>
    <w:next w:val="827"/>
    <w:link w:val="863"/>
    <w:qFormat/>
    <w:pPr>
      <w:keepLines/>
      <w:keepNext/>
      <w:spacing w:before="480" w:after="120"/>
    </w:pPr>
    <w:rPr>
      <w:b/>
      <w:sz w:val="72"/>
      <w:szCs w:val="72"/>
    </w:rPr>
  </w:style>
  <w:style w:type="character" w:styleId="1020">
    <w:name w:val="annotation reference"/>
    <w:basedOn w:val="837"/>
    <w:uiPriority w:val="99"/>
    <w:unhideWhenUsed/>
    <w:qFormat/>
    <w:rPr>
      <w:sz w:val="16"/>
      <w:szCs w:val="16"/>
    </w:rPr>
  </w:style>
  <w:style w:type="character" w:styleId="1021">
    <w:name w:val="endnote reference"/>
    <w:basedOn w:val="837"/>
    <w:uiPriority w:val="99"/>
    <w:unhideWhenUsed/>
    <w:qFormat/>
    <w:rPr>
      <w:vertAlign w:val="superscript"/>
    </w:rPr>
  </w:style>
  <w:style w:type="character" w:styleId="1022">
    <w:name w:val="footnote reference"/>
    <w:basedOn w:val="837"/>
    <w:uiPriority w:val="99"/>
    <w:unhideWhenUsed/>
    <w:qFormat/>
    <w:rPr>
      <w:vertAlign w:val="superscript"/>
    </w:rPr>
  </w:style>
  <w:style w:type="table" w:styleId="1023">
    <w:name w:val="Table Grid"/>
    <w:basedOn w:val="838"/>
    <w:uiPriority w:val="39"/>
    <w:qFormat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024" w:customStyle="1">
    <w:name w:val="Table Normal1"/>
    <w:qFormat/>
    <w:tblPr>
      <w:tblCellMar>
        <w:left w:w="0" w:type="dxa"/>
        <w:top w:w="0" w:type="dxa"/>
        <w:right w:w="0" w:type="dxa"/>
        <w:bottom w:w="0" w:type="dxa"/>
      </w:tblCellMar>
    </w:tblPr>
  </w:style>
  <w:style w:type="character" w:styleId="1025" w:customStyle="1">
    <w:name w:val="Текст примечания Знак"/>
    <w:basedOn w:val="837"/>
    <w:link w:val="1013"/>
    <w:uiPriority w:val="99"/>
    <w:semiHidden/>
    <w:qFormat/>
    <w:rPr>
      <w:sz w:val="20"/>
      <w:szCs w:val="20"/>
    </w:rPr>
  </w:style>
  <w:style w:type="character" w:styleId="1026" w:customStyle="1">
    <w:name w:val="Текст выноски Знак"/>
    <w:basedOn w:val="837"/>
    <w:link w:val="1012"/>
    <w:uiPriority w:val="99"/>
    <w:semiHidden/>
    <w:qFormat/>
    <w:rPr>
      <w:rFonts w:ascii="Segoe UI" w:hAnsi="Segoe UI" w:cs="Segoe UI"/>
      <w:sz w:val="18"/>
      <w:szCs w:val="18"/>
    </w:rPr>
  </w:style>
  <w:style w:type="character" w:styleId="1027" w:customStyle="1">
    <w:name w:val="Тема примечания Знак"/>
    <w:basedOn w:val="1025"/>
    <w:link w:val="1014"/>
    <w:uiPriority w:val="99"/>
    <w:semiHidden/>
    <w:qFormat/>
    <w:rPr>
      <w:b/>
      <w:bCs/>
      <w:sz w:val="20"/>
      <w:szCs w:val="20"/>
    </w:rPr>
  </w:style>
  <w:style w:type="paragraph" w:styleId="1028" w:customStyle="1">
    <w:name w:val="Абзац списка1"/>
    <w:basedOn w:val="827"/>
    <w:uiPriority w:val="34"/>
    <w:qFormat/>
    <w:pPr>
      <w:contextualSpacing/>
      <w:ind w:left="720"/>
    </w:pPr>
  </w:style>
  <w:style w:type="character" w:styleId="1029" w:customStyle="1">
    <w:name w:val="Текст сноски Знак"/>
    <w:basedOn w:val="837"/>
    <w:link w:val="1016"/>
    <w:uiPriority w:val="99"/>
    <w:qFormat/>
    <w:rPr>
      <w:sz w:val="20"/>
      <w:szCs w:val="20"/>
    </w:rPr>
  </w:style>
  <w:style w:type="character" w:styleId="1030" w:customStyle="1">
    <w:name w:val="Текст концевой сноски Знак"/>
    <w:basedOn w:val="837"/>
    <w:link w:val="1015"/>
    <w:uiPriority w:val="99"/>
    <w:semiHidden/>
    <w:qFormat/>
    <w:rPr>
      <w:sz w:val="20"/>
      <w:szCs w:val="20"/>
    </w:rPr>
  </w:style>
  <w:style w:type="paragraph" w:styleId="1031" w:customStyle="1">
    <w:name w:val="Default"/>
    <w:qFormat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1032" w:customStyle="1">
    <w:name w:val="Абзац списка2"/>
    <w:basedOn w:val="827"/>
    <w:uiPriority w:val="34"/>
    <w:qFormat/>
    <w:pPr>
      <w:contextualSpacing/>
      <w:ind w:left="720"/>
    </w:pPr>
    <w:rPr>
      <w:color w:val="00000a"/>
    </w:rPr>
  </w:style>
  <w:style w:type="paragraph" w:styleId="1033" w:customStyle="1">
    <w:name w:val="Абзац списка3"/>
    <w:basedOn w:val="827"/>
    <w:uiPriority w:val="99"/>
    <w:qFormat/>
    <w:pPr>
      <w:contextualSpacing/>
      <w:ind w:left="720"/>
    </w:pPr>
  </w:style>
  <w:style w:type="paragraph" w:styleId="1034">
    <w:name w:val="List Paragraph"/>
    <w:basedOn w:val="827"/>
    <w:link w:val="1039"/>
    <w:uiPriority w:val="34"/>
    <w:qFormat/>
    <w:pPr>
      <w:contextualSpacing/>
      <w:ind w:left="720"/>
    </w:pPr>
  </w:style>
  <w:style w:type="paragraph" w:styleId="1035">
    <w:name w:val="Header"/>
    <w:basedOn w:val="827"/>
    <w:link w:val="103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1036" w:customStyle="1">
    <w:name w:val="Верхний колонтитул Знак"/>
    <w:basedOn w:val="837"/>
    <w:link w:val="1035"/>
    <w:uiPriority w:val="99"/>
    <w:rPr>
      <w:sz w:val="22"/>
      <w:szCs w:val="22"/>
    </w:rPr>
  </w:style>
  <w:style w:type="paragraph" w:styleId="1037">
    <w:name w:val="Footer"/>
    <w:basedOn w:val="827"/>
    <w:link w:val="103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1038" w:customStyle="1">
    <w:name w:val="Нижний колонтитул Знак"/>
    <w:basedOn w:val="837"/>
    <w:link w:val="1037"/>
    <w:uiPriority w:val="99"/>
    <w:rPr>
      <w:sz w:val="22"/>
      <w:szCs w:val="22"/>
    </w:rPr>
  </w:style>
  <w:style w:type="character" w:styleId="1039" w:customStyle="1">
    <w:name w:val="Абзац списка Знак"/>
    <w:link w:val="1034"/>
    <w:uiPriority w:val="34"/>
    <w:rPr>
      <w:sz w:val="22"/>
      <w:szCs w:val="22"/>
    </w:rPr>
  </w:style>
  <w:style w:type="paragraph" w:styleId="1040">
    <w:name w:val="Revision"/>
    <w:hidden/>
    <w:uiPriority w:val="99"/>
    <w:semiHidden/>
    <w:pPr>
      <w:spacing w:after="0" w:line="240" w:lineRule="auto"/>
    </w:pPr>
    <w:rPr>
      <w:sz w:val="22"/>
      <w:szCs w:val="22"/>
    </w:rPr>
  </w:style>
  <w:style w:type="paragraph" w:styleId="1041" w:customStyle="1">
    <w:name w:val="docdata"/>
    <w:basedOn w:val="827"/>
    <w:pPr>
      <w:spacing w:before="100" w:beforeAutospacing="1" w:after="100" w:afterAutospacing="1" w:line="240" w:lineRule="auto"/>
    </w:pPr>
    <w:rPr>
      <w:rFonts w:ascii="Times New Roman" w:hAnsi="Times New Roman" w:cs="Times New Roman" w:eastAsiaTheme="minorHAnsi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Relationship Id="rId12" Type="http://schemas.openxmlformats.org/officeDocument/2006/relationships/customXml" Target="../customXml/item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E2C4883E-BF32-40F0-A1B3-0503796AD32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Ашурбаев Ашурали Анарбаевич</dc:creator>
  <cp:revision>4</cp:revision>
  <dcterms:created xsi:type="dcterms:W3CDTF">2025-07-02T11:08:00Z</dcterms:created>
  <dcterms:modified xsi:type="dcterms:W3CDTF">2025-07-02T11:58:06Z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66C1F13E3279EF254F8A51623194B81E</vt:lpwstr>
  </property>
  <property fmtid="{D5CDD505-2E9C-101B-9397-08002B2CF9AE}" pid="3" name="KSOProductBuildVer">
    <vt:lpwstr>2052-11.24.2</vt:lpwstr>
  </property>
</Properties>
</file>